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hint="eastAsia" w:asciiTheme="majorEastAsia" w:hAnsiTheme="majorEastAsia" w:eastAsiaTheme="majorEastAsia" w:cstheme="majorEastAsia"/>
          <w:b/>
          <w:bCs/>
          <w:sz w:val="44"/>
        </w:rPr>
      </w:pPr>
    </w:p>
    <w:p>
      <w:pPr>
        <w:spacing w:line="560" w:lineRule="exact"/>
        <w:ind w:left="-199" w:leftChars="-95" w:right="-313" w:rightChars="-149" w:firstLine="199" w:firstLineChars="45"/>
        <w:jc w:val="center"/>
        <w:rPr>
          <w:rFonts w:hint="eastAsia" w:asciiTheme="majorEastAsia" w:hAnsiTheme="majorEastAsia" w:eastAsiaTheme="majorEastAsia" w:cstheme="majorEastAsia"/>
          <w:b/>
          <w:bCs/>
          <w:spacing w:val="0"/>
          <w:sz w:val="44"/>
        </w:rPr>
      </w:pPr>
      <w:r>
        <w:rPr>
          <w:rFonts w:hint="eastAsia" w:asciiTheme="majorEastAsia" w:hAnsiTheme="majorEastAsia" w:eastAsiaTheme="majorEastAsia" w:cstheme="majorEastAsia"/>
          <w:b/>
          <w:bCs/>
          <w:spacing w:val="0"/>
          <w:sz w:val="44"/>
        </w:rPr>
        <w:t>内</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蒙</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古</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自</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治</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区</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计</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量</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测</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试</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研</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究</w:t>
      </w:r>
      <w:r>
        <w:rPr>
          <w:rFonts w:hint="eastAsia" w:asciiTheme="majorEastAsia" w:hAnsiTheme="majorEastAsia" w:eastAsiaTheme="majorEastAsia" w:cstheme="majorEastAsia"/>
          <w:b/>
          <w:bCs/>
          <w:spacing w:val="0"/>
          <w:sz w:val="44"/>
          <w:lang w:val="en-US" w:eastAsia="zh-CN"/>
        </w:rPr>
        <w:t xml:space="preserve"> </w:t>
      </w:r>
      <w:r>
        <w:rPr>
          <w:rFonts w:hint="eastAsia" w:asciiTheme="majorEastAsia" w:hAnsiTheme="majorEastAsia" w:eastAsiaTheme="majorEastAsia" w:cstheme="majorEastAsia"/>
          <w:b/>
          <w:bCs/>
          <w:spacing w:val="0"/>
          <w:sz w:val="44"/>
        </w:rPr>
        <w:t>院</w:t>
      </w: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2022年部门预算</w:t>
      </w: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公开报告</w:t>
      </w: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rPr>
          <w:rFonts w:ascii="宋体" w:hAnsi="宋体"/>
          <w:b/>
          <w:bCs/>
          <w:sz w:val="44"/>
        </w:rPr>
      </w:pPr>
    </w:p>
    <w:p>
      <w:pPr>
        <w:spacing w:line="560" w:lineRule="exact"/>
        <w:jc w:val="center"/>
        <w:rPr>
          <w:rFonts w:ascii="宋体" w:hAnsi="宋体"/>
          <w:b/>
          <w:bCs/>
          <w:sz w:val="44"/>
        </w:rPr>
      </w:pPr>
    </w:p>
    <w:p>
      <w:pPr>
        <w:spacing w:line="560" w:lineRule="exact"/>
        <w:jc w:val="center"/>
        <w:rPr>
          <w:rFonts w:ascii="仿宋_GB2312" w:hAnsi="宋体" w:eastAsia="仿宋_GB2312"/>
          <w:bCs/>
          <w:sz w:val="32"/>
          <w:szCs w:val="32"/>
        </w:rPr>
      </w:pPr>
      <w:r>
        <w:rPr>
          <w:rFonts w:hint="eastAsia" w:ascii="仿宋_GB2312" w:hAnsi="宋体" w:eastAsia="仿宋_GB2312"/>
          <w:bCs/>
          <w:sz w:val="32"/>
          <w:szCs w:val="32"/>
        </w:rPr>
        <w:t xml:space="preserve">  内蒙古自治区计量测试研究院</w:t>
      </w:r>
    </w:p>
    <w:p>
      <w:pPr>
        <w:spacing w:line="560" w:lineRule="exact"/>
        <w:jc w:val="center"/>
        <w:rPr>
          <w:rFonts w:ascii="宋体" w:hAnsi="宋体"/>
          <w:sz w:val="32"/>
          <w:szCs w:val="32"/>
        </w:rPr>
      </w:pPr>
      <w:r>
        <w:rPr>
          <w:rFonts w:hint="eastAsia" w:ascii="仿宋" w:hAnsi="仿宋" w:eastAsia="仿宋" w:cs="仿宋"/>
          <w:sz w:val="32"/>
          <w:szCs w:val="32"/>
        </w:rPr>
        <w:t>2022年2月25日</w:t>
      </w:r>
    </w:p>
    <w:p>
      <w:pPr>
        <w:spacing w:line="560" w:lineRule="exact"/>
        <w:rPr>
          <w:rFonts w:ascii="宋体" w:hAnsi="宋体"/>
          <w:b/>
          <w:bCs/>
          <w:sz w:val="44"/>
        </w:rPr>
      </w:pPr>
    </w:p>
    <w:p>
      <w:pPr>
        <w:jc w:val="center"/>
        <w:rPr>
          <w:rFonts w:ascii="宋体" w:hAnsi="宋体"/>
          <w:b/>
          <w:bCs/>
          <w:sz w:val="44"/>
        </w:rPr>
      </w:pPr>
    </w:p>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rPr>
        <w:t>目    录</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第一部分 内蒙古自治区计量测试研究院概况</w:t>
      </w:r>
    </w:p>
    <w:p>
      <w:pPr>
        <w:spacing w:line="520" w:lineRule="exact"/>
        <w:ind w:left="0" w:leftChars="0" w:firstLine="566" w:firstLineChars="177"/>
        <w:rPr>
          <w:rFonts w:ascii="仿宋_GB2312" w:hAnsi="宋体" w:eastAsia="仿宋_GB2312"/>
          <w:bCs/>
          <w:sz w:val="32"/>
          <w:szCs w:val="32"/>
        </w:rPr>
      </w:pPr>
      <w:r>
        <w:rPr>
          <w:rFonts w:hint="eastAsia" w:ascii="仿宋_GB2312" w:hAnsi="宋体" w:eastAsia="仿宋_GB2312"/>
          <w:bCs/>
          <w:sz w:val="32"/>
          <w:szCs w:val="32"/>
        </w:rPr>
        <w:t>一、主要职能</w:t>
      </w:r>
    </w:p>
    <w:p>
      <w:pPr>
        <w:spacing w:line="520" w:lineRule="exact"/>
        <w:ind w:left="0" w:leftChars="0" w:firstLine="566" w:firstLineChars="177"/>
        <w:rPr>
          <w:rFonts w:ascii="仿宋" w:hAnsi="仿宋" w:eastAsia="仿宋" w:cs="仿宋"/>
          <w:color w:val="000000"/>
          <w:sz w:val="32"/>
          <w:szCs w:val="32"/>
        </w:rPr>
      </w:pPr>
      <w:r>
        <w:rPr>
          <w:rFonts w:hint="eastAsia" w:ascii="仿宋_GB2312" w:hAnsi="宋体" w:eastAsia="仿宋_GB2312"/>
          <w:bCs/>
          <w:sz w:val="32"/>
          <w:szCs w:val="32"/>
        </w:rPr>
        <w:t>二、机构设置及部门预算单位构成</w:t>
      </w:r>
    </w:p>
    <w:p>
      <w:pPr>
        <w:spacing w:line="520" w:lineRule="exact"/>
        <w:rPr>
          <w:rFonts w:ascii="仿宋" w:hAnsi="仿宋" w:eastAsia="仿宋" w:cs="仿宋"/>
          <w:sz w:val="32"/>
          <w:szCs w:val="32"/>
        </w:rPr>
      </w:pPr>
      <w:r>
        <w:rPr>
          <w:rFonts w:hint="eastAsia" w:ascii="仿宋_GB2312" w:hAnsi="宋体" w:eastAsia="仿宋_GB2312"/>
          <w:b/>
          <w:bCs/>
          <w:sz w:val="36"/>
          <w:szCs w:val="36"/>
        </w:rPr>
        <w:t>第二部分 2022年部门预算安排情况说明</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一、2022年公共预算收支情况的总体说明</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二、2022年一般公共预算拨款收支情况说明</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三、政府性基金预算拨款支出预算的情况说明</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四、国有资本经营预算拨款支出预算的情况说明</w:t>
      </w:r>
    </w:p>
    <w:p>
      <w:pPr>
        <w:numPr>
          <w:ilvl w:val="0"/>
          <w:numId w:val="1"/>
        </w:num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“三公经费”财政拨款支出预算的情况说明</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第三部分 其他公开事项说明</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一、机关运行经费安排情况说明</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二、“政府采购计划”预算情况说明</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三、国有资产占有使用和增量情况说明</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四、部门组织征收收入计划</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五、2022年对下转移支付情况</w:t>
      </w:r>
    </w:p>
    <w:p>
      <w:pPr>
        <w:spacing w:line="520" w:lineRule="exact"/>
        <w:ind w:left="0" w:leftChars="0" w:firstLine="566" w:firstLineChars="177"/>
        <w:rPr>
          <w:rFonts w:ascii="仿宋" w:hAnsi="仿宋" w:eastAsia="仿宋" w:cs="仿宋"/>
          <w:sz w:val="32"/>
          <w:szCs w:val="32"/>
        </w:rPr>
      </w:pPr>
      <w:r>
        <w:rPr>
          <w:rFonts w:hint="eastAsia" w:ascii="仿宋" w:hAnsi="仿宋" w:eastAsia="仿宋" w:cs="仿宋"/>
          <w:sz w:val="32"/>
          <w:szCs w:val="32"/>
        </w:rPr>
        <w:t>六、绩效目标设置情况说明</w:t>
      </w:r>
    </w:p>
    <w:p>
      <w:pPr>
        <w:spacing w:line="520" w:lineRule="exact"/>
        <w:rPr>
          <w:rFonts w:ascii="宋体" w:hAnsi="宋体"/>
          <w:b/>
          <w:bCs/>
          <w:sz w:val="44"/>
        </w:rPr>
      </w:pPr>
      <w:r>
        <w:rPr>
          <w:rFonts w:hint="eastAsia" w:ascii="仿宋_GB2312" w:hAnsi="宋体" w:eastAsia="仿宋_GB2312"/>
          <w:b/>
          <w:bCs/>
          <w:sz w:val="36"/>
          <w:szCs w:val="36"/>
        </w:rPr>
        <w:t>第四部分  名词解释</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第五部分  2022年部门预算公开表</w:t>
      </w:r>
    </w:p>
    <w:p>
      <w:pPr>
        <w:spacing w:line="520" w:lineRule="exact"/>
        <w:ind w:firstLine="640" w:firstLineChars="200"/>
        <w:rPr>
          <w:rFonts w:ascii="仿宋_GB2312" w:hAnsi="宋体" w:eastAsia="仿宋_GB2312"/>
          <w:bCs/>
          <w:sz w:val="32"/>
          <w:szCs w:val="32"/>
        </w:rPr>
      </w:pPr>
    </w:p>
    <w:p>
      <w:pPr>
        <w:spacing w:line="560" w:lineRule="exact"/>
        <w:ind w:firstLine="640" w:firstLineChars="200"/>
        <w:rPr>
          <w:rFonts w:ascii="仿宋" w:hAnsi="仿宋" w:eastAsia="仿宋" w:cs="仿宋"/>
          <w:color w:val="000000"/>
          <w:sz w:val="32"/>
          <w:szCs w:val="32"/>
        </w:rPr>
      </w:pPr>
    </w:p>
    <w:p>
      <w:pPr>
        <w:spacing w:line="560" w:lineRule="exact"/>
        <w:rPr>
          <w:rFonts w:ascii="宋体" w:hAnsi="宋体"/>
          <w:b/>
          <w:bCs/>
          <w:sz w:val="44"/>
        </w:rPr>
      </w:pPr>
    </w:p>
    <w:p>
      <w:pPr>
        <w:spacing w:line="560" w:lineRule="exact"/>
        <w:jc w:val="center"/>
        <w:rPr>
          <w:rFonts w:ascii="宋体" w:hAnsi="宋体"/>
          <w:b/>
          <w:bCs/>
          <w:sz w:val="44"/>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 xml:space="preserve">第一部分  </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内蒙古自治区计量测试研究院概况</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黑体" w:hAnsi="黑体" w:eastAsia="黑体" w:cs="黑体"/>
          <w:bCs/>
          <w:sz w:val="32"/>
          <w:szCs w:val="32"/>
        </w:rPr>
        <w:t>一、主要职能</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（一）部门职能</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内蒙古自治区计量测试研究院为自治区市场监督管理局所属公益二类事业单位，机构规格相当于副厅级。</w:t>
      </w:r>
      <w:r>
        <w:rPr>
          <w:rFonts w:hint="eastAsia" w:ascii="仿宋_GB2312" w:eastAsia="仿宋_GB2312"/>
          <w:sz w:val="32"/>
          <w:szCs w:val="32"/>
        </w:rPr>
        <w:t> </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（二）主要职责</w:t>
      </w:r>
    </w:p>
    <w:p>
      <w:pPr>
        <w:ind w:firstLine="640" w:firstLineChars="200"/>
        <w:rPr>
          <w:rFonts w:ascii="仿宋" w:hAnsi="仿宋" w:eastAsia="仿宋" w:cstheme="minorBidi"/>
          <w:sz w:val="32"/>
          <w:szCs w:val="32"/>
        </w:rPr>
      </w:pPr>
      <w:r>
        <w:rPr>
          <w:rFonts w:hint="eastAsia" w:ascii="仿宋_GB2312" w:eastAsia="仿宋_GB2312"/>
          <w:color w:val="202020"/>
          <w:sz w:val="32"/>
          <w:szCs w:val="32"/>
        </w:rPr>
        <w:t>主要承担</w:t>
      </w:r>
      <w:r>
        <w:rPr>
          <w:rFonts w:hint="eastAsia" w:ascii="仿宋" w:hAnsi="仿宋" w:eastAsia="仿宋" w:cstheme="minorBidi"/>
          <w:sz w:val="32"/>
          <w:szCs w:val="32"/>
        </w:rPr>
        <w:t>研究、建立、保存、维护、使用经国家批准建立的计量基准、标准和自治区最高社会公用计量标准。承担量值传递、量值溯源，开展强制检定、计量校准、测试及计量器具产品质量检验工作。承担计量科学研究、技术咨询和服务工作。开展能源消耗量监测等能源计量工作。开展碳排放量监测及碳汇计量工作。承担测绘产品质量监督检验、评价型检验和仲裁检验工作。承担计量技术人员实际操作培训工作，协助做好计量技术人员相关考核工作。按取得资质开展相关业务及其他委托性业务。承担相关国家计量中心、重点实验室的职能。承担自治区市场监督管理局交办的其他工作。</w:t>
      </w:r>
    </w:p>
    <w:p>
      <w:pPr>
        <w:autoSpaceDE w:val="0"/>
        <w:autoSpaceDN w:val="0"/>
        <w:spacing w:line="580" w:lineRule="atLeast"/>
        <w:ind w:firstLine="640" w:firstLineChars="200"/>
        <w:rPr>
          <w:rFonts w:ascii="黑体" w:hAnsi="黑体" w:eastAsia="黑体"/>
          <w:bCs/>
          <w:sz w:val="32"/>
          <w:szCs w:val="32"/>
        </w:rPr>
      </w:pPr>
      <w:r>
        <w:rPr>
          <w:rFonts w:hint="eastAsia" w:ascii="黑体" w:hAnsi="黑体" w:eastAsia="黑体"/>
          <w:bCs/>
          <w:sz w:val="32"/>
          <w:szCs w:val="32"/>
        </w:rPr>
        <w:t>二、机构设置及部门预算单位构成</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内蒙古自治区计量测试研究院设13个内设机构，分别是：办公室、计划财务处、业务与科研处、长度光学与交通计量研究所、测绘地理信息研究所、热工与流量计量研究所、力值与声学计量研究所、质量与商贸计量研究所、电学与磁学计量研究所、物理与化学计量研究所、医疗与时间频率计量研究所、能源与碳排放计量研究所、离退休人员工作处（党群工作处）。</w:t>
      </w: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hint="eastAsia"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第二部分</w:t>
      </w: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内蒙古自治区计量测试研究院</w:t>
      </w: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2022年部门预算安排情况说明</w:t>
      </w: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widowControl/>
        <w:spacing w:line="360" w:lineRule="auto"/>
        <w:jc w:val="left"/>
        <w:rPr>
          <w:rFonts w:ascii="方正小标宋简体" w:hAnsi="宋体" w:eastAsia="方正小标宋简体"/>
          <w:bCs/>
          <w:color w:val="FF0000"/>
          <w:sz w:val="32"/>
          <w:szCs w:val="32"/>
        </w:rPr>
      </w:pPr>
    </w:p>
    <w:p>
      <w:pPr>
        <w:widowControl/>
        <w:spacing w:before="156" w:beforeLines="50" w:after="156" w:afterLines="50" w:line="360" w:lineRule="auto"/>
        <w:jc w:val="left"/>
        <w:rPr>
          <w:rFonts w:ascii="黑体" w:hAnsi="黑体" w:eastAsia="黑体" w:cs="黑体"/>
          <w:bCs/>
          <w:color w:val="FF0000"/>
          <w:sz w:val="32"/>
          <w:szCs w:val="32"/>
        </w:rPr>
      </w:pPr>
    </w:p>
    <w:p>
      <w:pPr>
        <w:widowControl/>
        <w:spacing w:before="156" w:beforeLines="50" w:after="156" w:afterLines="50"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一、2022年公共预算收支情况的总体说明</w:t>
      </w:r>
    </w:p>
    <w:p>
      <w:pPr>
        <w:ind w:firstLine="640" w:firstLineChars="200"/>
        <w:rPr>
          <w:rFonts w:hint="eastAsia" w:ascii="仿宋" w:hAnsi="仿宋" w:eastAsia="仿宋" w:cstheme="minorBidi"/>
          <w:sz w:val="32"/>
          <w:szCs w:val="32"/>
        </w:rPr>
      </w:pPr>
      <w:r>
        <w:rPr>
          <w:rFonts w:hint="eastAsia" w:ascii="仿宋_GB2312" w:eastAsia="仿宋_GB2312"/>
          <w:sz w:val="32"/>
          <w:szCs w:val="32"/>
        </w:rPr>
        <w:t>2022年自治区计量测试研究院部门预算总收入为</w:t>
      </w:r>
      <w:r>
        <w:rPr>
          <w:rFonts w:hint="eastAsia" w:ascii="仿宋" w:hAnsi="仿宋" w:eastAsia="仿宋"/>
          <w:sz w:val="32"/>
          <w:szCs w:val="32"/>
        </w:rPr>
        <w:t>10,987.08</w:t>
      </w:r>
      <w:r>
        <w:rPr>
          <w:rFonts w:hint="eastAsia" w:ascii="仿宋_GB2312" w:eastAsia="仿宋_GB2312"/>
          <w:sz w:val="32"/>
          <w:szCs w:val="32"/>
        </w:rPr>
        <w:t>万元，无政府性基金预算拨款，</w:t>
      </w:r>
      <w:r>
        <w:rPr>
          <w:rFonts w:hint="eastAsia" w:ascii="仿宋" w:hAnsi="仿宋" w:eastAsia="仿宋" w:cstheme="minorBidi"/>
          <w:sz w:val="32"/>
          <w:szCs w:val="32"/>
        </w:rPr>
        <w:t>其中：一般公共预算收入5031.30万元，事业单位经营收入5496.00万元，其他收入4.00万元，上年结转结余455.78万元（包括上年财政资金结转125.78万元，单位自有资金结转330.00万元）。</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 2022年预算安排支出总额为10.987.08万元，其中：基本支出安排90.30万元（人员支出87.68万元，主要用于保障离退休人员个人和家庭补助；公用支出2.62万元，主要用于保障日常运转）；项目支出10,896.78万元，主要用于保障市场监督管理事务，市场秩序执法及信息化建设。       </w:t>
      </w:r>
    </w:p>
    <w:p>
      <w:pPr>
        <w:widowControl/>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二、2022年一般公共预算拨款收支情况说明</w:t>
      </w:r>
    </w:p>
    <w:p>
      <w:pPr>
        <w:widowControl/>
        <w:numPr>
          <w:ilvl w:val="0"/>
          <w:numId w:val="2"/>
        </w:numPr>
        <w:spacing w:line="360" w:lineRule="auto"/>
        <w:ind w:firstLine="643" w:firstLineChars="200"/>
        <w:rPr>
          <w:rFonts w:ascii="楷体_GB2312" w:hAnsi="宋体" w:eastAsia="楷体_GB2312"/>
          <w:b/>
          <w:sz w:val="32"/>
          <w:szCs w:val="32"/>
        </w:rPr>
      </w:pPr>
      <w:r>
        <w:rPr>
          <w:rFonts w:hint="eastAsia" w:ascii="楷体_GB2312" w:hAnsi="宋体" w:eastAsia="楷体_GB2312"/>
          <w:b/>
          <w:sz w:val="32"/>
          <w:szCs w:val="32"/>
        </w:rPr>
        <w:t>财政拨款规模情况</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内蒙古自治区计量测试研究院2022年财政拨款收支总预算为</w:t>
      </w:r>
      <w:r>
        <w:rPr>
          <w:rFonts w:hint="eastAsia" w:ascii="仿宋" w:hAnsi="仿宋" w:eastAsia="仿宋"/>
          <w:sz w:val="32"/>
          <w:szCs w:val="32"/>
        </w:rPr>
        <w:t>5,157.08</w:t>
      </w:r>
      <w:r>
        <w:rPr>
          <w:rFonts w:hint="eastAsia" w:ascii="仿宋_GB2312" w:hAnsi="宋体" w:eastAsia="仿宋_GB2312"/>
          <w:bCs/>
          <w:sz w:val="32"/>
          <w:szCs w:val="32"/>
        </w:rPr>
        <w:t>万元。</w:t>
      </w:r>
    </w:p>
    <w:p>
      <w:pPr>
        <w:widowControl/>
        <w:spacing w:line="360" w:lineRule="auto"/>
        <w:ind w:firstLine="643" w:firstLineChars="200"/>
        <w:rPr>
          <w:rFonts w:ascii="楷体_GB2312" w:hAnsi="宋体" w:eastAsia="楷体_GB2312"/>
          <w:b/>
          <w:sz w:val="32"/>
          <w:szCs w:val="32"/>
        </w:rPr>
      </w:pPr>
      <w:r>
        <w:rPr>
          <w:rFonts w:hint="eastAsia" w:ascii="楷体_GB2312" w:hAnsi="宋体" w:eastAsia="楷体_GB2312"/>
          <w:b/>
          <w:sz w:val="32"/>
          <w:szCs w:val="32"/>
          <w:lang w:eastAsia="zh-CN"/>
        </w:rPr>
        <w:t>（</w:t>
      </w:r>
      <w:r>
        <w:rPr>
          <w:rFonts w:hint="eastAsia" w:ascii="楷体_GB2312" w:hAnsi="宋体" w:eastAsia="楷体_GB2312"/>
          <w:b/>
          <w:sz w:val="32"/>
          <w:szCs w:val="32"/>
          <w:lang w:val="en-US" w:eastAsia="zh-CN"/>
        </w:rPr>
        <w:t>二</w:t>
      </w:r>
      <w:r>
        <w:rPr>
          <w:rFonts w:hint="eastAsia" w:ascii="楷体_GB2312" w:hAnsi="宋体" w:eastAsia="楷体_GB2312"/>
          <w:b/>
          <w:sz w:val="32"/>
          <w:szCs w:val="32"/>
          <w:lang w:eastAsia="zh-CN"/>
        </w:rPr>
        <w:t>）</w:t>
      </w:r>
      <w:r>
        <w:rPr>
          <w:rFonts w:hint="eastAsia" w:ascii="楷体_GB2312" w:hAnsi="宋体" w:eastAsia="楷体_GB2312"/>
          <w:b/>
          <w:sz w:val="32"/>
          <w:szCs w:val="32"/>
        </w:rPr>
        <w:t>财政拨款预算结构情况</w:t>
      </w:r>
    </w:p>
    <w:p>
      <w:pPr>
        <w:widowControl/>
        <w:spacing w:line="360" w:lineRule="auto"/>
        <w:ind w:firstLine="640" w:firstLineChars="200"/>
        <w:rPr>
          <w:rFonts w:ascii="仿宋_GB2312" w:hAnsi="宋体" w:eastAsia="仿宋_GB2312"/>
          <w:bCs/>
          <w:color w:val="FF0000"/>
          <w:sz w:val="32"/>
          <w:szCs w:val="32"/>
        </w:rPr>
      </w:pPr>
      <w:r>
        <w:rPr>
          <w:rFonts w:hint="eastAsia" w:ascii="仿宋_GB2312" w:hAnsi="宋体" w:eastAsia="仿宋_GB2312"/>
          <w:bCs/>
          <w:sz w:val="32"/>
          <w:szCs w:val="32"/>
        </w:rPr>
        <w:t>2022年部门预算中，财政拨款支出数为</w:t>
      </w:r>
      <w:r>
        <w:rPr>
          <w:rFonts w:hint="eastAsia" w:ascii="仿宋" w:hAnsi="仿宋" w:eastAsia="仿宋"/>
          <w:sz w:val="32"/>
          <w:szCs w:val="32"/>
        </w:rPr>
        <w:t>5,157.08</w:t>
      </w:r>
      <w:r>
        <w:rPr>
          <w:rFonts w:hint="eastAsia" w:ascii="仿宋_GB2312" w:hAnsi="宋体" w:eastAsia="仿宋_GB2312"/>
          <w:bCs/>
          <w:sz w:val="32"/>
          <w:szCs w:val="32"/>
        </w:rPr>
        <w:t>万元，用于以下方面：</w:t>
      </w:r>
      <w:r>
        <w:rPr>
          <w:rFonts w:hint="eastAsia" w:ascii="仿宋_GB2312" w:hAnsi="宋体" w:eastAsia="仿宋_GB2312"/>
          <w:b/>
          <w:bCs/>
          <w:sz w:val="32"/>
          <w:szCs w:val="32"/>
        </w:rPr>
        <w:t>一般公共服务（类）</w:t>
      </w:r>
      <w:r>
        <w:rPr>
          <w:rFonts w:hint="eastAsia" w:ascii="仿宋_GB2312" w:hAnsi="宋体" w:eastAsia="仿宋_GB2312"/>
          <w:bCs/>
          <w:sz w:val="32"/>
          <w:szCs w:val="32"/>
        </w:rPr>
        <w:t>支出5,024.88万元，占支出的97.44%；</w:t>
      </w:r>
      <w:r>
        <w:rPr>
          <w:rFonts w:hint="eastAsia" w:ascii="仿宋_GB2312" w:hAnsi="宋体" w:eastAsia="仿宋_GB2312"/>
          <w:b/>
          <w:bCs/>
          <w:sz w:val="32"/>
          <w:szCs w:val="32"/>
        </w:rPr>
        <w:t>社会保障和就业（类）</w:t>
      </w:r>
      <w:r>
        <w:rPr>
          <w:rFonts w:hint="eastAsia" w:ascii="仿宋_GB2312" w:hAnsi="宋体" w:eastAsia="仿宋_GB2312"/>
          <w:bCs/>
          <w:sz w:val="32"/>
          <w:szCs w:val="32"/>
        </w:rPr>
        <w:t>支出132.20万元，占支出的2.56%。</w:t>
      </w:r>
    </w:p>
    <w:p>
      <w:pPr>
        <w:numPr>
          <w:ilvl w:val="0"/>
          <w:numId w:val="3"/>
        </w:numPr>
        <w:tabs>
          <w:tab w:val="left" w:pos="1380"/>
        </w:tabs>
        <w:ind w:firstLine="482" w:firstLineChars="150"/>
        <w:rPr>
          <w:rFonts w:ascii="楷体_GB2312" w:hAnsi="宋体" w:eastAsia="楷体_GB2312" w:cs="宋体"/>
          <w:sz w:val="32"/>
          <w:szCs w:val="32"/>
        </w:rPr>
      </w:pPr>
      <w:r>
        <w:rPr>
          <w:rFonts w:hint="eastAsia" w:ascii="楷体_GB2312" w:hAnsi="宋体" w:eastAsia="楷体_GB2312"/>
          <w:b/>
          <w:bCs/>
          <w:sz w:val="32"/>
          <w:szCs w:val="32"/>
        </w:rPr>
        <w:t>一般公共预算拨款收入具体</w:t>
      </w:r>
      <w:r>
        <w:rPr>
          <w:rFonts w:hint="eastAsia" w:ascii="楷体_GB2312" w:hAnsi="宋体" w:eastAsia="楷体_GB2312" w:cs="宋体"/>
          <w:b/>
          <w:bCs/>
          <w:sz w:val="32"/>
          <w:szCs w:val="32"/>
        </w:rPr>
        <w:t>使用安排情况</w:t>
      </w:r>
    </w:p>
    <w:p>
      <w:pPr>
        <w:tabs>
          <w:tab w:val="left" w:pos="138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2022年财政拨款预算数为</w:t>
      </w:r>
      <w:r>
        <w:rPr>
          <w:rFonts w:hint="eastAsia" w:ascii="仿宋_GB2312" w:eastAsia="仿宋_GB2312"/>
          <w:sz w:val="32"/>
          <w:szCs w:val="32"/>
        </w:rPr>
        <w:t>5157.08</w:t>
      </w:r>
      <w:r>
        <w:rPr>
          <w:rFonts w:hint="eastAsia" w:ascii="仿宋_GB2312" w:hAnsi="宋体" w:eastAsia="仿宋_GB2312" w:cs="宋体"/>
          <w:sz w:val="32"/>
          <w:szCs w:val="32"/>
        </w:rPr>
        <w:t>万元，比2021年财政拨款预算数减少247.23万元，具体情况如下：</w:t>
      </w:r>
    </w:p>
    <w:p>
      <w:pPr>
        <w:tabs>
          <w:tab w:val="left" w:pos="1380"/>
        </w:tabs>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1.一般公共服务类2022年财政拨款预算数为</w:t>
      </w:r>
      <w:r>
        <w:rPr>
          <w:rFonts w:hint="eastAsia" w:ascii="仿宋_GB2312" w:hAnsi="宋体" w:eastAsia="仿宋_GB2312"/>
          <w:b/>
          <w:sz w:val="32"/>
          <w:szCs w:val="32"/>
        </w:rPr>
        <w:t>5157.08</w:t>
      </w:r>
      <w:r>
        <w:rPr>
          <w:rFonts w:hint="eastAsia" w:ascii="仿宋_GB2312" w:hAnsi="宋体" w:eastAsia="仿宋_GB2312" w:cs="宋体"/>
          <w:b/>
          <w:bCs/>
          <w:sz w:val="32"/>
          <w:szCs w:val="32"/>
        </w:rPr>
        <w:t>万元</w:t>
      </w:r>
      <w:r>
        <w:rPr>
          <w:rFonts w:hint="eastAsia" w:ascii="仿宋_GB2312" w:hAnsi="宋体" w:eastAsia="仿宋_GB2312" w:cs="宋体"/>
          <w:sz w:val="32"/>
          <w:szCs w:val="32"/>
        </w:rPr>
        <w:t>。其中：</w:t>
      </w:r>
    </w:p>
    <w:p>
      <w:pPr>
        <w:pStyle w:val="6"/>
        <w:spacing w:line="560" w:lineRule="exact"/>
        <w:ind w:left="0" w:leftChars="0" w:firstLine="643" w:firstLineChars="200"/>
        <w:rPr>
          <w:rFonts w:ascii="仿宋_GB2312" w:eastAsia="仿宋_GB2312"/>
          <w:sz w:val="32"/>
          <w:szCs w:val="32"/>
        </w:rPr>
      </w:pPr>
      <w:r>
        <w:rPr>
          <w:rFonts w:hint="eastAsia" w:ascii="仿宋_GB2312" w:hAnsi="仿宋_GB2312" w:eastAsia="仿宋_GB2312" w:cs="仿宋_GB2312"/>
          <w:b/>
          <w:bCs/>
          <w:sz w:val="32"/>
          <w:szCs w:val="32"/>
        </w:rPr>
        <w:t>(1)一般公共服务（类）市场监督管理事务（款）市场秩序执法（项）：</w:t>
      </w:r>
      <w:r>
        <w:rPr>
          <w:rFonts w:hint="eastAsia" w:ascii="仿宋_GB2312" w:hAnsi="仿宋_GB2312" w:eastAsia="仿宋_GB2312" w:cs="仿宋_GB2312"/>
          <w:sz w:val="32"/>
          <w:szCs w:val="32"/>
        </w:rPr>
        <w:t>2022年财政拨款预算数为3,087.60万元。主要用于计量检定及市场监督管理及能力提升项目</w:t>
      </w:r>
      <w:r>
        <w:rPr>
          <w:rFonts w:hint="eastAsia" w:ascii="仿宋_GB2312" w:eastAsia="仿宋_GB2312"/>
          <w:sz w:val="32"/>
          <w:szCs w:val="32"/>
        </w:rPr>
        <w:t>所需经费。</w:t>
      </w:r>
    </w:p>
    <w:p>
      <w:pPr>
        <w:ind w:left="0" w:leftChars="0" w:firstLine="643" w:firstLineChars="200"/>
        <w:rPr>
          <w:rFonts w:ascii="宋体" w:hAnsi="宋体" w:cs="宋体"/>
          <w:kern w:val="0"/>
          <w:sz w:val="22"/>
          <w:szCs w:val="2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)一般公共服务（类）市场监督管理事务（款）信息化建设（项)</w:t>
      </w:r>
      <w:r>
        <w:rPr>
          <w:rFonts w:hint="eastAsia" w:ascii="仿宋_GB2312" w:hAnsi="仿宋_GB2312" w:eastAsia="仿宋_GB2312" w:cs="仿宋_GB2312"/>
          <w:sz w:val="32"/>
          <w:szCs w:val="32"/>
        </w:rPr>
        <w:t>：2022年财政拨款预算数为10.19万元。主要用于自治区能耗在线监测系统</w:t>
      </w:r>
      <w:r>
        <w:rPr>
          <w:rFonts w:hint="eastAsia" w:ascii="仿宋_GB2312" w:hAnsi="宋体" w:eastAsia="仿宋_GB2312" w:cs="宋体"/>
          <w:kern w:val="0"/>
          <w:sz w:val="32"/>
          <w:szCs w:val="32"/>
        </w:rPr>
        <w:t>项目所需经费</w:t>
      </w:r>
      <w:r>
        <w:rPr>
          <w:rFonts w:hint="eastAsia" w:ascii="仿宋_GB2312" w:eastAsia="仿宋_GB2312"/>
          <w:sz w:val="32"/>
          <w:szCs w:val="32"/>
        </w:rPr>
        <w:t>。</w:t>
      </w:r>
    </w:p>
    <w:p>
      <w:pPr>
        <w:pBdr>
          <w:bottom w:val="single" w:color="FFFFFF" w:sz="4" w:space="30"/>
        </w:pBdr>
        <w:snapToGrid w:val="0"/>
        <w:spacing w:line="60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)一般公共服务（类）市场监督管理事务（款）事业运行(项)</w:t>
      </w:r>
      <w:r>
        <w:rPr>
          <w:rFonts w:hint="eastAsia" w:ascii="仿宋_GB2312" w:hAnsi="仿宋_GB2312" w:eastAsia="仿宋_GB2312" w:cs="仿宋_GB2312"/>
          <w:sz w:val="32"/>
          <w:szCs w:val="32"/>
        </w:rPr>
        <w:t>：2022年财政拨款预算数为8.09万元，主要用于单位日常</w:t>
      </w:r>
      <w:r>
        <w:rPr>
          <w:rFonts w:hint="eastAsia" w:ascii="仿宋_GB2312" w:eastAsia="仿宋_GB2312"/>
          <w:sz w:val="32"/>
          <w:szCs w:val="32"/>
        </w:rPr>
        <w:t>运行所需差旅费及遗属人员生活补助的支出。</w:t>
      </w:r>
    </w:p>
    <w:p>
      <w:pPr>
        <w:pBdr>
          <w:bottom w:val="single" w:color="FFFFFF" w:sz="4" w:space="30"/>
        </w:pBdr>
        <w:snapToGrid w:val="0"/>
        <w:spacing w:line="600" w:lineRule="exact"/>
        <w:ind w:firstLine="643" w:firstLineChars="200"/>
        <w:rPr>
          <w:rFonts w:ascii="仿宋_GB2312" w:hAnsi="黑体" w:eastAsia="仿宋_GB2312"/>
          <w:spacing w:val="-6"/>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)一般公共服务（类）市场监督管理事务（款）其他市场监督管理事务(项)：</w:t>
      </w:r>
      <w:r>
        <w:rPr>
          <w:rFonts w:hint="eastAsia" w:ascii="仿宋_GB2312" w:hAnsi="仿宋_GB2312" w:eastAsia="仿宋_GB2312" w:cs="仿宋_GB2312"/>
          <w:sz w:val="32"/>
          <w:szCs w:val="32"/>
        </w:rPr>
        <w:t>2022年财政拨款预算数为1,919.00万元，主要用于单位</w:t>
      </w:r>
      <w:r>
        <w:rPr>
          <w:rFonts w:hint="eastAsia" w:ascii="仿宋_GB2312" w:eastAsia="仿宋_GB2312" w:cs="仿宋_GB2312"/>
          <w:spacing w:val="6"/>
          <w:kern w:val="0"/>
          <w:sz w:val="32"/>
          <w:szCs w:val="32"/>
          <w:lang w:val="zh-CN"/>
        </w:rPr>
        <w:t>定项补助项目支出所需经费。</w:t>
      </w:r>
    </w:p>
    <w:p>
      <w:pPr>
        <w:pBdr>
          <w:bottom w:val="single" w:color="FFFFFF" w:sz="4" w:space="30"/>
        </w:pBdr>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2.社会保障和就业支出类2022年财政拨款预算数为</w:t>
      </w:r>
      <w:r>
        <w:rPr>
          <w:rFonts w:hint="eastAsia" w:ascii="仿宋_GB2312" w:hAnsi="宋体" w:eastAsia="仿宋_GB2312"/>
          <w:b/>
          <w:sz w:val="32"/>
          <w:szCs w:val="32"/>
        </w:rPr>
        <w:t>132.20万</w:t>
      </w:r>
      <w:r>
        <w:rPr>
          <w:rFonts w:hint="eastAsia" w:ascii="仿宋_GB2312" w:hAnsi="宋体" w:eastAsia="仿宋_GB2312" w:cs="宋体"/>
          <w:b/>
          <w:bCs/>
          <w:sz w:val="32"/>
          <w:szCs w:val="32"/>
        </w:rPr>
        <w:t>元</w:t>
      </w:r>
      <w:r>
        <w:rPr>
          <w:rFonts w:ascii="仿宋_GB2312" w:hAnsi="仿宋_GB2312" w:eastAsia="仿宋_GB2312" w:cs="仿宋_GB2312"/>
          <w:b/>
          <w:bCs/>
          <w:sz w:val="32"/>
          <w:szCs w:val="32"/>
        </w:rPr>
        <w:t>。其中：</w:t>
      </w:r>
    </w:p>
    <w:p>
      <w:pPr>
        <w:pBdr>
          <w:bottom w:val="single" w:color="FFFFFF" w:sz="4" w:space="30"/>
        </w:pBdr>
        <w:snapToGrid w:val="0"/>
        <w:spacing w:line="600" w:lineRule="exact"/>
        <w:ind w:firstLine="643" w:firstLineChars="200"/>
        <w:rPr>
          <w:rFonts w:hint="eastAsia" w:ascii="仿宋_GB2312" w:hAnsi="宋体" w:eastAsia="仿宋_GB2312"/>
          <w:sz w:val="32"/>
          <w:szCs w:val="32"/>
        </w:rPr>
      </w:pPr>
      <w:r>
        <w:rPr>
          <w:rFonts w:hint="eastAsia" w:ascii="仿宋_GB2312" w:hAnsi="仿宋_GB2312" w:eastAsia="仿宋_GB2312" w:cs="仿宋_GB2312"/>
          <w:b/>
          <w:bCs/>
          <w:sz w:val="32"/>
          <w:szCs w:val="32"/>
        </w:rPr>
        <w:t>(1)</w:t>
      </w:r>
      <w:r>
        <w:rPr>
          <w:rFonts w:hint="eastAsia" w:ascii="仿宋_GB2312" w:hAnsi="宋体" w:eastAsia="仿宋_GB2312"/>
          <w:b/>
          <w:sz w:val="32"/>
          <w:szCs w:val="32"/>
        </w:rPr>
        <w:t>社会保障和就业支出（类）行政事业单位养老支出（款）事业单位离退休（项）：</w:t>
      </w:r>
      <w:r>
        <w:rPr>
          <w:rFonts w:hint="eastAsia" w:ascii="仿宋_GB2312" w:hAnsi="宋体" w:eastAsia="仿宋_GB2312"/>
          <w:bCs/>
          <w:sz w:val="32"/>
          <w:szCs w:val="32"/>
        </w:rPr>
        <w:t>2022年财政拨款预算数为82.20万元，</w:t>
      </w:r>
      <w:r>
        <w:rPr>
          <w:rFonts w:hint="eastAsia" w:ascii="仿宋_GB2312" w:hAnsi="宋体" w:eastAsia="仿宋_GB2312"/>
          <w:sz w:val="32"/>
          <w:szCs w:val="32"/>
        </w:rPr>
        <w:t>主要用于单位离退休人员支出。</w:t>
      </w:r>
    </w:p>
    <w:p>
      <w:pPr>
        <w:pBdr>
          <w:bottom w:val="single" w:color="FFFFFF" w:sz="4" w:space="30"/>
        </w:pBdr>
        <w:snapToGrid w:val="0"/>
        <w:spacing w:line="600" w:lineRule="exact"/>
        <w:ind w:firstLine="643" w:firstLineChars="200"/>
        <w:rPr>
          <w:rFonts w:ascii="仿宋_GB2312" w:hAnsi="宋体" w:eastAsia="仿宋_GB2312"/>
          <w:sz w:val="32"/>
          <w:szCs w:val="32"/>
        </w:rPr>
      </w:pPr>
      <w:r>
        <w:rPr>
          <w:rFonts w:hint="eastAsia" w:ascii="仿宋_GB2312" w:hAnsi="宋体" w:eastAsia="仿宋_GB2312"/>
          <w:b/>
          <w:sz w:val="32"/>
          <w:szCs w:val="32"/>
        </w:rPr>
        <w:t>（2）社会保障和就业支出（类）行政事业单位养老支出（款）引进人才费用（项）：</w:t>
      </w:r>
      <w:r>
        <w:rPr>
          <w:rFonts w:hint="eastAsia" w:ascii="仿宋_GB2312" w:hAnsi="宋体" w:eastAsia="仿宋_GB2312"/>
          <w:bCs/>
          <w:sz w:val="32"/>
          <w:szCs w:val="32"/>
        </w:rPr>
        <w:t>2022年财政拨款预算数为50.00万元，</w:t>
      </w:r>
      <w:r>
        <w:rPr>
          <w:rFonts w:hint="eastAsia" w:ascii="仿宋_GB2312" w:hAnsi="宋体" w:eastAsia="仿宋_GB2312"/>
          <w:sz w:val="32"/>
          <w:szCs w:val="32"/>
        </w:rPr>
        <w:t>主要用于草原英才项目支出。</w:t>
      </w:r>
    </w:p>
    <w:p>
      <w:pPr>
        <w:widowControl/>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三、政府性基金预算拨款支出预算的情况说明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我单位2022年无政府性基金预算拨款支出。</w:t>
      </w:r>
    </w:p>
    <w:p>
      <w:pPr>
        <w:widowControl/>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四、国有资本经营预算拨款支出预算的情况说明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我单位2022年无国有资本经营预算拨款支出。</w:t>
      </w:r>
    </w:p>
    <w:p>
      <w:pPr>
        <w:widowControl/>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五、“三公经费”财政拨款支出预算的情况说明</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2022年财政拨款“三公经费”预算安排30.00万元，为公务用车运行维护费30.00万元。</w:t>
      </w:r>
    </w:p>
    <w:p>
      <w:pPr>
        <w:jc w:val="center"/>
        <w:rPr>
          <w:rFonts w:ascii="仿宋_GB2312" w:hAnsi="宋体" w:eastAsia="仿宋_GB2312"/>
          <w:color w:val="FF0000"/>
          <w:sz w:val="32"/>
          <w:szCs w:val="32"/>
        </w:rPr>
      </w:pPr>
    </w:p>
    <w:p>
      <w:pPr>
        <w:jc w:val="center"/>
        <w:rPr>
          <w:rFonts w:ascii="仿宋_GB2312" w:hAnsi="宋体" w:eastAsia="仿宋_GB2312"/>
          <w:color w:val="FF0000"/>
          <w:sz w:val="32"/>
          <w:szCs w:val="32"/>
        </w:rPr>
      </w:pPr>
      <w:r>
        <w:rPr>
          <w:rFonts w:hint="eastAsia" w:ascii="仿宋_GB2312" w:hAnsi="宋体" w:eastAsia="仿宋_GB2312"/>
          <w:color w:val="FF0000"/>
          <w:sz w:val="32"/>
          <w:szCs w:val="32"/>
        </w:rPr>
        <w:br w:type="textWrapping"/>
      </w:r>
    </w:p>
    <w:p>
      <w:pPr>
        <w:jc w:val="center"/>
        <w:rPr>
          <w:rFonts w:ascii="仿宋_GB2312" w:hAnsi="宋体" w:eastAsia="仿宋_GB2312"/>
          <w:color w:val="FF0000"/>
          <w:sz w:val="32"/>
          <w:szCs w:val="32"/>
        </w:rPr>
      </w:pPr>
    </w:p>
    <w:p>
      <w:pPr>
        <w:jc w:val="center"/>
        <w:rPr>
          <w:rFonts w:ascii="仿宋_GB2312" w:hAnsi="宋体" w:eastAsia="仿宋_GB2312"/>
          <w:color w:val="FF0000"/>
          <w:sz w:val="32"/>
          <w:szCs w:val="32"/>
        </w:rPr>
      </w:pPr>
    </w:p>
    <w:p>
      <w:pPr>
        <w:tabs>
          <w:tab w:val="left" w:pos="3532"/>
        </w:tabs>
        <w:autoSpaceDE w:val="0"/>
        <w:autoSpaceDN w:val="0"/>
        <w:adjustRightInd w:val="0"/>
        <w:spacing w:line="560" w:lineRule="exact"/>
        <w:rPr>
          <w:rFonts w:ascii="方正小标宋简体" w:hAnsi="宋体" w:eastAsia="方正小标宋简体"/>
          <w:bCs/>
          <w:color w:val="FF0000"/>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 xml:space="preserve">第三部分  </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2"/>
          <w:szCs w:val="32"/>
        </w:rPr>
      </w:pPr>
      <w:r>
        <w:rPr>
          <w:rFonts w:hint="eastAsia" w:ascii="方正小标宋简体" w:hAnsi="宋体" w:eastAsia="方正小标宋简体"/>
          <w:bCs/>
          <w:sz w:val="36"/>
          <w:szCs w:val="36"/>
        </w:rPr>
        <w:t>其他公开事项说明</w:t>
      </w: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hint="eastAsia"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p>
    <w:p>
      <w:pPr>
        <w:spacing w:before="156" w:beforeLines="50" w:after="156"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一、机关运行经费安排情况说明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22</w:t>
      </w:r>
      <w:r>
        <w:rPr>
          <w:rFonts w:hint="eastAsia" w:ascii="仿宋_GB2312" w:eastAsia="仿宋_GB2312"/>
          <w:color w:val="000000"/>
          <w:sz w:val="32"/>
          <w:szCs w:val="32"/>
        </w:rPr>
        <w:t>年，我单位机关运行经费财政拨款预算经费2.62万元（其中包括单位日常运行办公费支出2.62万元）。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二、“政府采购计划”预算情况说明</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2022年“政府采购计划”预算安排2,846.27万元，其中一般公共预算安排982.38万元（包括服务类517.24万元，货物类6.14万元，设备类172.00万元，软件类187.00万元，其他公共安全类100.00万元</w:t>
      </w:r>
      <w:r>
        <w:rPr>
          <w:rFonts w:ascii="仿宋" w:hAnsi="仿宋" w:eastAsia="仿宋" w:cstheme="minorBidi"/>
          <w:sz w:val="32"/>
          <w:szCs w:val="32"/>
        </w:rPr>
        <w:t>）</w:t>
      </w:r>
      <w:r>
        <w:rPr>
          <w:rFonts w:hint="eastAsia" w:ascii="仿宋" w:hAnsi="仿宋" w:eastAsia="仿宋" w:cstheme="minorBidi"/>
          <w:sz w:val="32"/>
          <w:szCs w:val="32"/>
        </w:rPr>
        <w:t>；经营预算安排1863.89万元（包括服务类268.50万元，货物类6.14万元，设备类271.95万元，软件类117.30万元，其他公共安全类1,200.00万元</w:t>
      </w:r>
      <w:r>
        <w:rPr>
          <w:rFonts w:ascii="仿宋" w:hAnsi="仿宋" w:eastAsia="仿宋" w:cstheme="minorBidi"/>
          <w:sz w:val="32"/>
          <w:szCs w:val="32"/>
        </w:rPr>
        <w:t>）</w:t>
      </w:r>
      <w:r>
        <w:rPr>
          <w:rFonts w:hint="eastAsia" w:ascii="仿宋" w:hAnsi="仿宋" w:eastAsia="仿宋" w:cstheme="minorBidi"/>
          <w:sz w:val="32"/>
          <w:szCs w:val="32"/>
        </w:rPr>
        <w:t>。</w:t>
      </w:r>
    </w:p>
    <w:p>
      <w:pPr>
        <w:pBdr>
          <w:bottom w:val="single" w:color="FFFFFF" w:sz="4" w:space="30"/>
        </w:pBdr>
        <w:snapToGrid w:val="0"/>
        <w:spacing w:before="156" w:before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三、国有资产占有使用和增量情况说明</w:t>
      </w:r>
    </w:p>
    <w:p>
      <w:pPr>
        <w:pBdr>
          <w:bottom w:val="single" w:color="FFFFFF" w:sz="4" w:space="30"/>
        </w:pBdr>
        <w:snapToGrid w:val="0"/>
        <w:spacing w:before="156" w:beforeLines="50" w:after="156" w:afterLines="50" w:line="58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截至2021年末，我单位固定资产原值为</w:t>
      </w:r>
      <w:r>
        <w:rPr>
          <w:rFonts w:hint="eastAsia" w:ascii="仿宋" w:hAnsi="仿宋" w:eastAsia="仿宋"/>
          <w:sz w:val="32"/>
          <w:szCs w:val="32"/>
        </w:rPr>
        <w:t>29,624.64</w:t>
      </w:r>
      <w:r>
        <w:rPr>
          <w:rFonts w:hint="eastAsia" w:ascii="仿宋_GB2312" w:eastAsia="仿宋_GB2312"/>
          <w:sz w:val="32"/>
        </w:rPr>
        <w:t>万元，2022年国有资产配置计划资金为</w:t>
      </w:r>
      <w:r>
        <w:rPr>
          <w:rFonts w:hint="eastAsia" w:ascii="仿宋" w:hAnsi="仿宋" w:eastAsia="仿宋"/>
          <w:sz w:val="32"/>
          <w:szCs w:val="32"/>
        </w:rPr>
        <w:t>1,374.60</w:t>
      </w:r>
      <w:r>
        <w:rPr>
          <w:rFonts w:hint="eastAsia" w:ascii="仿宋_GB2312" w:eastAsia="仿宋_GB2312"/>
          <w:sz w:val="32"/>
        </w:rPr>
        <w:t>万元。</w:t>
      </w:r>
    </w:p>
    <w:p>
      <w:pPr>
        <w:numPr>
          <w:ilvl w:val="0"/>
          <w:numId w:val="4"/>
        </w:numPr>
        <w:pBdr>
          <w:bottom w:val="single" w:color="FFFFFF" w:sz="4" w:space="30"/>
        </w:pBdr>
        <w:snapToGrid w:val="0"/>
        <w:spacing w:before="156" w:beforeLines="50" w:after="156"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部门组织征收收入计划</w:t>
      </w:r>
    </w:p>
    <w:p>
      <w:pPr>
        <w:pBdr>
          <w:bottom w:val="single" w:color="FFFFFF" w:sz="4" w:space="30"/>
        </w:pBdr>
        <w:snapToGrid w:val="0"/>
        <w:spacing w:before="156" w:beforeLines="50" w:line="580" w:lineRule="exact"/>
        <w:ind w:firstLine="640" w:firstLineChars="200"/>
        <w:rPr>
          <w:rFonts w:ascii="仿宋_GB2312" w:hAnsi="仿宋_GB2312" w:eastAsia="仿宋_GB2312" w:cs="仿宋_GB2312"/>
          <w:bCs/>
          <w:sz w:val="32"/>
          <w:szCs w:val="32"/>
        </w:rPr>
      </w:pPr>
      <w:r>
        <w:rPr>
          <w:rFonts w:hint="eastAsia" w:ascii="仿宋_GB2312" w:hAnsi="宋体" w:eastAsia="仿宋_GB2312"/>
          <w:sz w:val="32"/>
          <w:szCs w:val="32"/>
        </w:rPr>
        <w:t>我单位2022年无部门组织征收收入计划</w:t>
      </w:r>
    </w:p>
    <w:p>
      <w:pPr>
        <w:pBdr>
          <w:bottom w:val="single" w:color="FFFFFF" w:sz="4" w:space="30"/>
        </w:pBdr>
        <w:snapToGrid w:val="0"/>
        <w:spacing w:before="156" w:beforeLines="50"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五、绩效目标设置情况说明</w:t>
      </w:r>
    </w:p>
    <w:p>
      <w:pPr>
        <w:pBdr>
          <w:bottom w:val="single" w:color="FFFFFF" w:sz="4" w:space="30"/>
        </w:pBdr>
        <w:snapToGrid w:val="0"/>
        <w:spacing w:before="156" w:beforeLines="50" w:line="580" w:lineRule="exact"/>
        <w:ind w:firstLine="640" w:firstLineChars="200"/>
        <w:rPr>
          <w:rFonts w:ascii="黑体" w:hAnsi="黑体" w:eastAsia="黑体" w:cs="黑体"/>
          <w:bCs/>
          <w:sz w:val="32"/>
          <w:szCs w:val="32"/>
        </w:rPr>
      </w:pPr>
      <w:r>
        <w:rPr>
          <w:rFonts w:hint="eastAsia" w:ascii="仿宋" w:hAnsi="仿宋" w:eastAsia="仿宋" w:cstheme="minorBidi"/>
          <w:sz w:val="32"/>
          <w:szCs w:val="32"/>
        </w:rPr>
        <w:t>2022年自治区计量测试研究院共五个项目纳入绩效目标管理（分别为定向补助、计量检定、草原英才专项资金、市场监督管理及能力提升、事业单位经营支出）。涉及资金合计10,791.00万元（包含财政资金4,941.00万元，经营资金5,850.00万元</w:t>
      </w:r>
      <w:r>
        <w:rPr>
          <w:rFonts w:ascii="仿宋" w:hAnsi="仿宋" w:eastAsia="仿宋" w:cstheme="minorBidi"/>
          <w:sz w:val="32"/>
          <w:szCs w:val="32"/>
        </w:rPr>
        <w:t>）</w:t>
      </w:r>
      <w:r>
        <w:rPr>
          <w:rFonts w:hint="eastAsia" w:ascii="仿宋" w:hAnsi="仿宋" w:eastAsia="仿宋" w:cstheme="minorBidi"/>
          <w:sz w:val="32"/>
          <w:szCs w:val="32"/>
        </w:rPr>
        <w:t>。其中定向补助年度绩效目标为保障全年单位工资支出，包括职工基本工资、津贴补贴等，保障工资及津补贴足额并及时发放，保障在职职工正常权益的获得。计量检定年度绩效目标为依照绩效指标要求依法履行法定计量检定机构职责，依据强制检定计量器具目录按时完成实施目标。草原英才专项资金年度绩效目标为提升团队科研人员能力，对院内项目提供经费支持。市场监督管理及能力提升年度绩效目标为依照绩效指标要求依法履行法定计量检定机构职责，依据强制检定计量器具目录按时完成实施目标。事业单位经营收入年度绩效目标为以服务企业高质量发展为目标，实施精准施测，严格按照计量技术规范对企事业单位的计量器具进行技术服务，按时按计划完成实施目标。</w:t>
      </w:r>
    </w:p>
    <w:p>
      <w:pPr>
        <w:ind w:firstLine="640" w:firstLineChars="200"/>
        <w:rPr>
          <w:rFonts w:ascii="仿宋" w:hAnsi="仿宋" w:eastAsia="仿宋" w:cstheme="minorBidi"/>
          <w:sz w:val="32"/>
          <w:szCs w:val="32"/>
          <w:lang w:bidi="mn-Mong-CN"/>
        </w:rPr>
      </w:pPr>
      <w:r>
        <w:rPr>
          <w:rFonts w:hint="eastAsia" w:ascii="仿宋" w:hAnsi="仿宋" w:eastAsia="仿宋" w:cstheme="minorBidi"/>
          <w:sz w:val="32"/>
          <w:szCs w:val="32"/>
          <w:lang w:bidi="mn-Mong-CN"/>
        </w:rPr>
        <w:t>绩效指标设置数量指标，质量指标，时效指标，成本指标，经济效益指标，社会效益指标，可持续影响指标，服务对象满意度指标等。</w:t>
      </w:r>
    </w:p>
    <w:p>
      <w:pPr>
        <w:rPr>
          <w:rFonts w:ascii="仿宋_GB2312" w:hAnsi="宋体" w:eastAsia="仿宋_GB2312"/>
          <w:color w:val="FF0000"/>
          <w:sz w:val="32"/>
          <w:szCs w:val="32"/>
        </w:rPr>
      </w:pPr>
    </w:p>
    <w:p>
      <w:pPr>
        <w:rPr>
          <w:rFonts w:ascii="仿宋_GB2312" w:hAnsi="宋体" w:eastAsia="仿宋_GB2312"/>
          <w:color w:val="FF0000"/>
          <w:sz w:val="32"/>
          <w:szCs w:val="32"/>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r>
        <w:rPr>
          <w:rFonts w:hint="eastAsia" w:ascii="黑体" w:hAnsi="黑体" w:eastAsia="黑体"/>
          <w:b/>
          <w:sz w:val="36"/>
          <w:szCs w:val="36"/>
        </w:rPr>
        <w:t>第四部分</w:t>
      </w:r>
    </w:p>
    <w:p>
      <w:pPr>
        <w:jc w:val="center"/>
        <w:rPr>
          <w:rFonts w:ascii="黑体" w:hAnsi="黑体" w:eastAsia="黑体"/>
          <w:b/>
          <w:sz w:val="36"/>
          <w:szCs w:val="36"/>
        </w:rPr>
      </w:pPr>
    </w:p>
    <w:p>
      <w:pPr>
        <w:jc w:val="center"/>
        <w:rPr>
          <w:rFonts w:ascii="黑体" w:hAnsi="黑体" w:eastAsia="黑体"/>
          <w:b/>
          <w:sz w:val="36"/>
          <w:szCs w:val="36"/>
        </w:rPr>
      </w:pPr>
      <w:r>
        <w:rPr>
          <w:rFonts w:hint="eastAsia" w:ascii="黑体" w:hAnsi="黑体" w:eastAsia="黑体"/>
          <w:b/>
          <w:sz w:val="36"/>
          <w:szCs w:val="36"/>
        </w:rPr>
        <w:t>名词解释</w:t>
      </w: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color w:val="FF0000"/>
          <w:sz w:val="32"/>
          <w:szCs w:val="32"/>
        </w:rPr>
      </w:pPr>
    </w:p>
    <w:p>
      <w:pPr>
        <w:rPr>
          <w:rFonts w:ascii="仿宋_GB2312" w:hAnsi="宋体" w:eastAsia="仿宋_GB2312"/>
          <w:b/>
          <w:color w:val="FF0000"/>
          <w:sz w:val="32"/>
          <w:szCs w:val="32"/>
        </w:rPr>
      </w:pPr>
    </w:p>
    <w:p>
      <w:pPr>
        <w:ind w:firstLine="643" w:firstLineChars="200"/>
        <w:rPr>
          <w:rFonts w:ascii="仿宋_GB2312" w:hAnsi="宋体" w:eastAsia="仿宋_GB2312"/>
          <w:sz w:val="32"/>
          <w:szCs w:val="32"/>
        </w:rPr>
      </w:pPr>
      <w:r>
        <w:rPr>
          <w:rFonts w:hint="eastAsia" w:ascii="仿宋_GB2312" w:hAnsi="宋体" w:eastAsia="仿宋_GB2312"/>
          <w:b/>
          <w:sz w:val="32"/>
          <w:szCs w:val="32"/>
        </w:rPr>
        <w:t>一、一般公共预算拨款收入：</w:t>
      </w:r>
      <w:r>
        <w:rPr>
          <w:rFonts w:hint="eastAsia" w:ascii="仿宋_GB2312" w:hAnsi="宋体" w:eastAsia="仿宋_GB2312"/>
          <w:sz w:val="32"/>
          <w:szCs w:val="32"/>
        </w:rPr>
        <w:t>指自治区财政当年拨付的资金。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二、事业收入：</w:t>
      </w:r>
      <w:r>
        <w:rPr>
          <w:rFonts w:hint="eastAsia" w:ascii="仿宋_GB2312" w:hAnsi="宋体" w:eastAsia="仿宋_GB2312"/>
          <w:sz w:val="32"/>
          <w:szCs w:val="32"/>
        </w:rPr>
        <w:t>指事业单位开展专业业务活动及辅助活动所取得的收入。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三、事业单位经营收入：</w:t>
      </w:r>
      <w:r>
        <w:rPr>
          <w:rFonts w:hint="eastAsia" w:ascii="仿宋_GB2312" w:hAnsi="宋体" w:eastAsia="仿宋_GB2312"/>
          <w:sz w:val="32"/>
          <w:szCs w:val="32"/>
        </w:rPr>
        <w:t>指事业单位在专业业务活动及其辅助活动之外开展非独立核算经营活动取得的收入。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四、其他收入：</w:t>
      </w:r>
      <w:r>
        <w:rPr>
          <w:rFonts w:hint="eastAsia" w:ascii="仿宋_GB2312" w:hAnsi="宋体" w:eastAsia="仿宋_GB2312"/>
          <w:sz w:val="32"/>
          <w:szCs w:val="32"/>
        </w:rPr>
        <w:t>指除上述“财政拨款收入”、“事业收入”、“事业单位经营收入”等以外的收入。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五、用事业基金弥补收支差额：</w:t>
      </w:r>
      <w:r>
        <w:rPr>
          <w:rFonts w:hint="eastAsia" w:ascii="仿宋_GB2312" w:hAnsi="宋体" w:eastAsia="仿宋_GB2312"/>
          <w:sz w:val="32"/>
          <w:szCs w:val="32"/>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六、上年结转：</w:t>
      </w:r>
      <w:r>
        <w:rPr>
          <w:rFonts w:hint="eastAsia" w:ascii="仿宋_GB2312" w:hAnsi="宋体" w:eastAsia="仿宋_GB2312"/>
          <w:sz w:val="32"/>
          <w:szCs w:val="32"/>
        </w:rPr>
        <w:t>指以前年度尚未完成、结转到本年仍按原规定用途继续使用的资金。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七、一般公共服务（类）市场监督管理事务（款）：</w:t>
      </w:r>
      <w:r>
        <w:rPr>
          <w:rFonts w:hint="eastAsia" w:ascii="仿宋_GB2312" w:hAnsi="宋体" w:eastAsia="仿宋_GB2312"/>
          <w:sz w:val="32"/>
          <w:szCs w:val="32"/>
        </w:rPr>
        <w:t>指市场局用于保障机构正常运行、开展市场监督管理活动的支出。</w:t>
      </w:r>
    </w:p>
    <w:p>
      <w:pPr>
        <w:ind w:firstLine="643" w:firstLineChars="200"/>
        <w:rPr>
          <w:rFonts w:ascii="仿宋_GB2312" w:hAnsi="宋体" w:eastAsia="仿宋_GB2312"/>
          <w:bCs/>
          <w:sz w:val="32"/>
          <w:szCs w:val="32"/>
        </w:rPr>
      </w:pPr>
      <w:r>
        <w:rPr>
          <w:rFonts w:hint="eastAsia" w:ascii="仿宋_GB2312" w:hAnsi="宋体" w:eastAsia="仿宋_GB2312"/>
          <w:b/>
          <w:sz w:val="32"/>
          <w:szCs w:val="32"/>
        </w:rPr>
        <w:t>八、社会保障和就业（类）人力资源和社会保障管理事务（款）：</w:t>
      </w:r>
      <w:r>
        <w:rPr>
          <w:rFonts w:hint="eastAsia" w:ascii="仿宋_GB2312" w:hAnsi="宋体" w:eastAsia="仿宋_GB2312"/>
          <w:bCs/>
          <w:sz w:val="32"/>
          <w:szCs w:val="32"/>
        </w:rPr>
        <w:t>指用于人力资源引进人才补助方面的支出。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九、社会保障和就业支出（类）行政事业单位养老支出（款）：</w:t>
      </w:r>
      <w:r>
        <w:rPr>
          <w:rFonts w:hint="eastAsia" w:ascii="仿宋_GB2312" w:hAnsi="宋体" w:eastAsia="仿宋_GB2312"/>
          <w:sz w:val="32"/>
          <w:szCs w:val="32"/>
        </w:rPr>
        <w:t>指我单位按照国家政策规定用于养老方面的支出。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十、住房保障支出（类）住房改革支出（款）：</w:t>
      </w:r>
      <w:r>
        <w:rPr>
          <w:rFonts w:hint="eastAsia" w:ascii="仿宋_GB2312" w:hAnsi="宋体" w:eastAsia="仿宋_GB2312"/>
          <w:sz w:val="32"/>
          <w:szCs w:val="32"/>
        </w:rPr>
        <w:t>指我单位按照国家政策规定用于住房改革方面的支出。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十一、卫生健康支出（类）行政事业单位医疗（款）：</w:t>
      </w:r>
      <w:r>
        <w:rPr>
          <w:rFonts w:hint="eastAsia" w:ascii="仿宋_GB2312" w:hAnsi="宋体" w:eastAsia="仿宋_GB2312"/>
          <w:sz w:val="32"/>
          <w:szCs w:val="32"/>
        </w:rPr>
        <w:t>指我单位按照国家政策规定用于医疗方面的支出。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十二、住房公积金：</w:t>
      </w:r>
      <w:r>
        <w:rPr>
          <w:rFonts w:hint="eastAsia" w:ascii="仿宋_GB2312" w:hAnsi="宋体" w:eastAsia="仿宋_GB2312"/>
          <w:sz w:val="32"/>
          <w:szCs w:val="32"/>
        </w:rPr>
        <w:t>指按照国家统一规定，按规定比例为职工缴纳的住房公积金。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十三、结转下年：</w:t>
      </w:r>
      <w:r>
        <w:rPr>
          <w:rFonts w:hint="eastAsia" w:ascii="仿宋_GB2312" w:hAnsi="宋体" w:eastAsia="仿宋_GB2312"/>
          <w:sz w:val="32"/>
          <w:szCs w:val="32"/>
        </w:rPr>
        <w:t>指以前年度预算安排、因客观条件发生变化无法按原计划实施，需延迟到以后年度按原规定用途继续使用的资金。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十四、基本支出：</w:t>
      </w:r>
      <w:r>
        <w:rPr>
          <w:rFonts w:hint="eastAsia" w:ascii="仿宋_GB2312" w:hAnsi="宋体" w:eastAsia="仿宋_GB2312"/>
          <w:sz w:val="32"/>
          <w:szCs w:val="32"/>
        </w:rPr>
        <w:t>指为保障机构正常运转、完成日常工作任务而发生的人员支出和公用支出。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十五、项目支出：</w:t>
      </w:r>
      <w:r>
        <w:rPr>
          <w:rFonts w:hint="eastAsia" w:ascii="仿宋_GB2312" w:hAnsi="宋体" w:eastAsia="仿宋_GB2312"/>
          <w:sz w:val="32"/>
          <w:szCs w:val="32"/>
        </w:rPr>
        <w:t>指在基本支出之外为完成特定行政任务和事业发展目标所发生的支出。</w:t>
      </w:r>
    </w:p>
    <w:p>
      <w:pPr>
        <w:snapToGrid w:val="0"/>
        <w:spacing w:line="560" w:lineRule="exact"/>
        <w:ind w:firstLine="645"/>
        <w:rPr>
          <w:rFonts w:ascii="仿宋_GB2312" w:eastAsia="仿宋_GB2312"/>
          <w:sz w:val="32"/>
          <w:szCs w:val="32"/>
        </w:rPr>
      </w:pPr>
      <w:r>
        <w:rPr>
          <w:rFonts w:hint="eastAsia" w:ascii="仿宋_GB2312" w:hAnsi="宋体" w:eastAsia="仿宋_GB2312"/>
          <w:b/>
          <w:sz w:val="32"/>
          <w:szCs w:val="32"/>
        </w:rPr>
        <w:t>十六、“三公”经费：</w:t>
      </w:r>
      <w:r>
        <w:rPr>
          <w:rFonts w:hint="eastAsia" w:ascii="仿宋_GB2312" w:eastAsia="仿宋_GB2312"/>
          <w:sz w:val="32"/>
          <w:szCs w:val="32"/>
        </w:rPr>
        <w:t>纳入财政预决算管理的“三公”经费，是指部门用财政拨款安排的因公出国（境）费、公务用车购置及运行费和公务接待费。</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十七、机关运行经费：</w:t>
      </w:r>
      <w:r>
        <w:rPr>
          <w:rFonts w:hint="eastAsia" w:ascii="仿宋_GB2312" w:eastAsia="仿宋_GB2312"/>
          <w:sz w:val="32"/>
          <w:szCs w:val="32"/>
        </w:rPr>
        <w:t>是指各部门的公用经费，包括办公及印刷费、邮电费、差旅费、会议费、福利费、日常维修费、专业材料及一般设备购置费、办公用房水电费、办公用房取暖费、办公用房物业管理费、公务用车运行维护费以及其他费用。</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bookmarkStart w:id="0" w:name="_GoBack"/>
      <w:bookmarkEnd w:id="0"/>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内蒙古自治区计量测试研究院</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2022年部门预算公开表</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ind w:firstLine="640" w:firstLineChars="200"/>
        <w:rPr>
          <w:rFonts w:hint="eastAsia"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hint="eastAsia"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hint="eastAsia"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hint="eastAsia"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hint="eastAsia" w:ascii="黑体" w:hAnsi="黑体" w:eastAsia="黑体" w:cs="黑体"/>
          <w:bCs/>
          <w:sz w:val="32"/>
          <w:szCs w:val="32"/>
        </w:rPr>
      </w:pPr>
    </w:p>
    <w:p>
      <w:pPr>
        <w:tabs>
          <w:tab w:val="left" w:pos="3532"/>
        </w:tabs>
        <w:autoSpaceDE w:val="0"/>
        <w:autoSpaceDN w:val="0"/>
        <w:adjustRightInd w:val="0"/>
        <w:spacing w:line="560" w:lineRule="exact"/>
        <w:ind w:firstLine="640" w:firstLineChars="200"/>
        <w:jc w:val="center"/>
        <w:rPr>
          <w:rFonts w:ascii="黑体" w:hAnsi="黑体" w:eastAsia="黑体" w:cs="黑体"/>
          <w:bCs/>
          <w:sz w:val="32"/>
          <w:szCs w:val="32"/>
        </w:rPr>
      </w:pPr>
      <w:r>
        <w:rPr>
          <w:rFonts w:hint="eastAsia" w:ascii="黑体" w:hAnsi="黑体" w:eastAsia="黑体" w:cs="黑体"/>
          <w:bCs/>
          <w:sz w:val="32"/>
          <w:szCs w:val="32"/>
        </w:rPr>
        <w:t>目录</w:t>
      </w:r>
    </w:p>
    <w:p>
      <w:pPr>
        <w:tabs>
          <w:tab w:val="left" w:pos="3532"/>
        </w:tabs>
        <w:autoSpaceDE w:val="0"/>
        <w:autoSpaceDN w:val="0"/>
        <w:adjustRightInd w:val="0"/>
        <w:spacing w:line="560" w:lineRule="exact"/>
        <w:rPr>
          <w:rFonts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二、收入总表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三、支出总表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四、财政拨款收支总表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六、一般公共预算基本支出表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七、一般公共预算“三公”经费支出表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八、政府性基金预算支出表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九、国有资本经营预算支出表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十、项目支出表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十一、项目绩效目标表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十二、政府采购预算表</w:t>
      </w: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仿宋_GB2312" w:eastAsia="仿宋_GB2312"/>
          <w:sz w:val="32"/>
          <w:szCs w:val="32"/>
        </w:rPr>
      </w:pPr>
      <w:r>
        <w:rPr>
          <w:rFonts w:hint="eastAsia" w:ascii="仿宋_GB2312" w:eastAsia="仿宋_GB2312"/>
          <w:sz w:val="32"/>
          <w:szCs w:val="32"/>
        </w:rPr>
        <w:t>备注：1、预算公开表见附件</w:t>
      </w: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仿宋_GB2312" w:eastAsia="仿宋_GB2312"/>
          <w:sz w:val="32"/>
          <w:szCs w:val="32"/>
        </w:rPr>
        <w:t xml:space="preserve">      2、按预算公开编制要求，预算公开报告及公开表的计数单位为万元，而2022年预算编制是以元为计数单位，因此小数点后第二位存在四舍五入的差异。</w:t>
      </w: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68F561-D9A6-4365-A141-8846FCA74E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FE6BC85-3349-4AB2-ACCB-A002BD0BC3C9}"/>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embedRegular r:id="rId3" w:fontKey="{D21C275C-0BD1-473C-AE19-25EF3D310DE0}"/>
  </w:font>
  <w:font w:name="仿宋">
    <w:panose1 w:val="02010609060101010101"/>
    <w:charset w:val="86"/>
    <w:family w:val="auto"/>
    <w:pitch w:val="default"/>
    <w:sig w:usb0="800002BF" w:usb1="38CF7CFA" w:usb2="00000016" w:usb3="00000000" w:csb0="00040001" w:csb1="00000000"/>
    <w:embedRegular r:id="rId4" w:fontKey="{4BB3E818-D334-4BFC-A25E-599A17FCDFE6}"/>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5" w:fontKey="{43EDB29F-D283-4F78-B889-6FC89C98DF81}"/>
  </w:font>
  <w:font w:name="楷体_GB2312">
    <w:altName w:val="楷体"/>
    <w:panose1 w:val="00000000000000000000"/>
    <w:charset w:val="86"/>
    <w:family w:val="modern"/>
    <w:pitch w:val="default"/>
    <w:sig w:usb0="00000000" w:usb1="00000000" w:usb2="00000010" w:usb3="00000000" w:csb0="00040000" w:csb1="00000000"/>
    <w:embedRegular r:id="rId6" w:fontKey="{9CF65280-AB4E-43F4-8E6C-DAAD9D2692C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541" w:h="282" w:hRule="exact" w:wrap="around" w:vAnchor="text" w:hAnchor="page" w:x="5761" w:y="7"/>
      <w:rPr>
        <w:rStyle w:val="14"/>
        <w:sz w:val="20"/>
        <w:szCs w:val="20"/>
      </w:rPr>
    </w:pPr>
    <w:r>
      <w:rPr>
        <w:sz w:val="20"/>
        <w:szCs w:val="20"/>
      </w:rPr>
      <w:fldChar w:fldCharType="begin"/>
    </w:r>
    <w:r>
      <w:rPr>
        <w:rStyle w:val="14"/>
        <w:sz w:val="20"/>
        <w:szCs w:val="20"/>
      </w:rPr>
      <w:instrText xml:space="preserve">PAGE  </w:instrText>
    </w:r>
    <w:r>
      <w:rPr>
        <w:sz w:val="20"/>
        <w:szCs w:val="20"/>
      </w:rPr>
      <w:fldChar w:fldCharType="separate"/>
    </w:r>
    <w:r>
      <w:rPr>
        <w:rStyle w:val="14"/>
        <w:sz w:val="20"/>
        <w:szCs w:val="20"/>
      </w:rPr>
      <w:t>- 14 -</w:t>
    </w:r>
    <w:r>
      <w:rPr>
        <w:sz w:val="20"/>
        <w:szCs w:val="20"/>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- 16 -</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50B39"/>
    <w:multiLevelType w:val="multilevel"/>
    <w:tmpl w:val="07E50B39"/>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E7DA328"/>
    <w:multiLevelType w:val="singleLevel"/>
    <w:tmpl w:val="0E7DA328"/>
    <w:lvl w:ilvl="0" w:tentative="0">
      <w:start w:val="4"/>
      <w:numFmt w:val="chineseCounting"/>
      <w:suff w:val="nothing"/>
      <w:lvlText w:val="%1、"/>
      <w:lvlJc w:val="left"/>
      <w:rPr>
        <w:rFonts w:hint="eastAsia"/>
      </w:rPr>
    </w:lvl>
  </w:abstractNum>
  <w:abstractNum w:abstractNumId="2">
    <w:nsid w:val="554B3C00"/>
    <w:multiLevelType w:val="singleLevel"/>
    <w:tmpl w:val="554B3C00"/>
    <w:lvl w:ilvl="0" w:tentative="0">
      <w:start w:val="3"/>
      <w:numFmt w:val="chineseCounting"/>
      <w:suff w:val="nothing"/>
      <w:lvlText w:val="（%1）"/>
      <w:lvlJc w:val="left"/>
    </w:lvl>
  </w:abstractNum>
  <w:abstractNum w:abstractNumId="3">
    <w:nsid w:val="5A96A4B2"/>
    <w:multiLevelType w:val="singleLevel"/>
    <w:tmpl w:val="5A96A4B2"/>
    <w:lvl w:ilvl="0" w:tentative="0">
      <w:start w:val="1"/>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09EC"/>
    <w:rsid w:val="00001BE8"/>
    <w:rsid w:val="0002101E"/>
    <w:rsid w:val="00024B0B"/>
    <w:rsid w:val="00026091"/>
    <w:rsid w:val="000302C8"/>
    <w:rsid w:val="000306FA"/>
    <w:rsid w:val="00032207"/>
    <w:rsid w:val="00033B04"/>
    <w:rsid w:val="00034096"/>
    <w:rsid w:val="00040BF4"/>
    <w:rsid w:val="0004112E"/>
    <w:rsid w:val="00063DA5"/>
    <w:rsid w:val="00075B5A"/>
    <w:rsid w:val="000824E5"/>
    <w:rsid w:val="000A08FD"/>
    <w:rsid w:val="000A3507"/>
    <w:rsid w:val="000A60DA"/>
    <w:rsid w:val="000B0F1E"/>
    <w:rsid w:val="000B5D09"/>
    <w:rsid w:val="000C1842"/>
    <w:rsid w:val="000C6295"/>
    <w:rsid w:val="000D4B22"/>
    <w:rsid w:val="000F1D25"/>
    <w:rsid w:val="000F350B"/>
    <w:rsid w:val="001012CD"/>
    <w:rsid w:val="00104A2E"/>
    <w:rsid w:val="00111059"/>
    <w:rsid w:val="00111488"/>
    <w:rsid w:val="001134AB"/>
    <w:rsid w:val="00113EDC"/>
    <w:rsid w:val="00117339"/>
    <w:rsid w:val="00121C0A"/>
    <w:rsid w:val="0013476B"/>
    <w:rsid w:val="00137CF0"/>
    <w:rsid w:val="00150BAA"/>
    <w:rsid w:val="001541B8"/>
    <w:rsid w:val="00166203"/>
    <w:rsid w:val="00172A27"/>
    <w:rsid w:val="00175A35"/>
    <w:rsid w:val="00180E9A"/>
    <w:rsid w:val="00185E62"/>
    <w:rsid w:val="00187DCC"/>
    <w:rsid w:val="00190F1A"/>
    <w:rsid w:val="00194792"/>
    <w:rsid w:val="001A2445"/>
    <w:rsid w:val="001A6628"/>
    <w:rsid w:val="001A7869"/>
    <w:rsid w:val="001B082B"/>
    <w:rsid w:val="001B3203"/>
    <w:rsid w:val="001B5D71"/>
    <w:rsid w:val="001B7B30"/>
    <w:rsid w:val="001E54C9"/>
    <w:rsid w:val="001F7871"/>
    <w:rsid w:val="00213A8D"/>
    <w:rsid w:val="00221C73"/>
    <w:rsid w:val="0023085B"/>
    <w:rsid w:val="002374F1"/>
    <w:rsid w:val="00240086"/>
    <w:rsid w:val="00250B23"/>
    <w:rsid w:val="00252334"/>
    <w:rsid w:val="002528AF"/>
    <w:rsid w:val="00255085"/>
    <w:rsid w:val="002570B5"/>
    <w:rsid w:val="00267BD1"/>
    <w:rsid w:val="00283B7F"/>
    <w:rsid w:val="002845F1"/>
    <w:rsid w:val="00292478"/>
    <w:rsid w:val="00294EDE"/>
    <w:rsid w:val="00297272"/>
    <w:rsid w:val="002B0181"/>
    <w:rsid w:val="002B6B71"/>
    <w:rsid w:val="002D2C27"/>
    <w:rsid w:val="002E2DE7"/>
    <w:rsid w:val="002E354E"/>
    <w:rsid w:val="002E50B8"/>
    <w:rsid w:val="002E637F"/>
    <w:rsid w:val="002F39C3"/>
    <w:rsid w:val="002F751B"/>
    <w:rsid w:val="00302B50"/>
    <w:rsid w:val="003062E4"/>
    <w:rsid w:val="00310AE7"/>
    <w:rsid w:val="00315124"/>
    <w:rsid w:val="00323E78"/>
    <w:rsid w:val="0032462B"/>
    <w:rsid w:val="0032491C"/>
    <w:rsid w:val="00335C44"/>
    <w:rsid w:val="0033723F"/>
    <w:rsid w:val="00340140"/>
    <w:rsid w:val="00344BD4"/>
    <w:rsid w:val="00365FE7"/>
    <w:rsid w:val="00371FA2"/>
    <w:rsid w:val="00374F94"/>
    <w:rsid w:val="0037663F"/>
    <w:rsid w:val="003818B1"/>
    <w:rsid w:val="00393D50"/>
    <w:rsid w:val="00397F09"/>
    <w:rsid w:val="003A42BE"/>
    <w:rsid w:val="003A6454"/>
    <w:rsid w:val="003B3155"/>
    <w:rsid w:val="003B52C9"/>
    <w:rsid w:val="003B7592"/>
    <w:rsid w:val="003D700B"/>
    <w:rsid w:val="003E1B88"/>
    <w:rsid w:val="003E52D5"/>
    <w:rsid w:val="003F11CC"/>
    <w:rsid w:val="003F6D21"/>
    <w:rsid w:val="0040050E"/>
    <w:rsid w:val="004125B7"/>
    <w:rsid w:val="00414D1D"/>
    <w:rsid w:val="0041600D"/>
    <w:rsid w:val="004209E8"/>
    <w:rsid w:val="00421A21"/>
    <w:rsid w:val="004228AC"/>
    <w:rsid w:val="00422C82"/>
    <w:rsid w:val="00422E5B"/>
    <w:rsid w:val="00423E44"/>
    <w:rsid w:val="00430DDF"/>
    <w:rsid w:val="00434C4D"/>
    <w:rsid w:val="004374F8"/>
    <w:rsid w:val="00437E17"/>
    <w:rsid w:val="004548A3"/>
    <w:rsid w:val="0047438F"/>
    <w:rsid w:val="004757C6"/>
    <w:rsid w:val="0047795A"/>
    <w:rsid w:val="00486BD9"/>
    <w:rsid w:val="004A139B"/>
    <w:rsid w:val="004B07BB"/>
    <w:rsid w:val="004B689A"/>
    <w:rsid w:val="004B7A2D"/>
    <w:rsid w:val="004C2514"/>
    <w:rsid w:val="004D2827"/>
    <w:rsid w:val="004D3A04"/>
    <w:rsid w:val="004D43BF"/>
    <w:rsid w:val="004D7F2E"/>
    <w:rsid w:val="004E6531"/>
    <w:rsid w:val="004F2E59"/>
    <w:rsid w:val="0052167D"/>
    <w:rsid w:val="0052287D"/>
    <w:rsid w:val="005252D1"/>
    <w:rsid w:val="00535E55"/>
    <w:rsid w:val="00535E82"/>
    <w:rsid w:val="00542050"/>
    <w:rsid w:val="00542603"/>
    <w:rsid w:val="00544729"/>
    <w:rsid w:val="005507A7"/>
    <w:rsid w:val="00550A44"/>
    <w:rsid w:val="00550F2B"/>
    <w:rsid w:val="005514EE"/>
    <w:rsid w:val="00557E81"/>
    <w:rsid w:val="00562A07"/>
    <w:rsid w:val="00564640"/>
    <w:rsid w:val="005650E2"/>
    <w:rsid w:val="00575FC5"/>
    <w:rsid w:val="0057629D"/>
    <w:rsid w:val="00584626"/>
    <w:rsid w:val="005867C9"/>
    <w:rsid w:val="005870CD"/>
    <w:rsid w:val="00594622"/>
    <w:rsid w:val="005B33FB"/>
    <w:rsid w:val="005C48C0"/>
    <w:rsid w:val="005D52FB"/>
    <w:rsid w:val="005E1D8F"/>
    <w:rsid w:val="005E3787"/>
    <w:rsid w:val="005E6977"/>
    <w:rsid w:val="005F001D"/>
    <w:rsid w:val="005F439C"/>
    <w:rsid w:val="00611E7B"/>
    <w:rsid w:val="0061345F"/>
    <w:rsid w:val="00620D76"/>
    <w:rsid w:val="00621DE1"/>
    <w:rsid w:val="00642B75"/>
    <w:rsid w:val="00642BDB"/>
    <w:rsid w:val="006446A0"/>
    <w:rsid w:val="006464D4"/>
    <w:rsid w:val="00646E51"/>
    <w:rsid w:val="00652190"/>
    <w:rsid w:val="00681679"/>
    <w:rsid w:val="006978D9"/>
    <w:rsid w:val="006A039F"/>
    <w:rsid w:val="006B696B"/>
    <w:rsid w:val="006C3A6F"/>
    <w:rsid w:val="006D20C2"/>
    <w:rsid w:val="006D4D7E"/>
    <w:rsid w:val="006D6D0F"/>
    <w:rsid w:val="006E1F9C"/>
    <w:rsid w:val="006F047A"/>
    <w:rsid w:val="006F2C21"/>
    <w:rsid w:val="006F45FE"/>
    <w:rsid w:val="00712154"/>
    <w:rsid w:val="007161E1"/>
    <w:rsid w:val="00720029"/>
    <w:rsid w:val="007213D6"/>
    <w:rsid w:val="00721BE5"/>
    <w:rsid w:val="0074324B"/>
    <w:rsid w:val="007508D9"/>
    <w:rsid w:val="00750913"/>
    <w:rsid w:val="0075630E"/>
    <w:rsid w:val="00771C6F"/>
    <w:rsid w:val="00783FF2"/>
    <w:rsid w:val="00794787"/>
    <w:rsid w:val="00797BC6"/>
    <w:rsid w:val="007A038D"/>
    <w:rsid w:val="007A43CE"/>
    <w:rsid w:val="007A649E"/>
    <w:rsid w:val="007A73D6"/>
    <w:rsid w:val="007B5A6A"/>
    <w:rsid w:val="007D3502"/>
    <w:rsid w:val="007D464E"/>
    <w:rsid w:val="007E2EB8"/>
    <w:rsid w:val="007E69FE"/>
    <w:rsid w:val="007F4BD4"/>
    <w:rsid w:val="008065A4"/>
    <w:rsid w:val="00812DC8"/>
    <w:rsid w:val="00816DD7"/>
    <w:rsid w:val="00826FA8"/>
    <w:rsid w:val="00837430"/>
    <w:rsid w:val="008425E1"/>
    <w:rsid w:val="0084359B"/>
    <w:rsid w:val="008454BE"/>
    <w:rsid w:val="0086106A"/>
    <w:rsid w:val="0086549C"/>
    <w:rsid w:val="00866BAC"/>
    <w:rsid w:val="00873100"/>
    <w:rsid w:val="008967FE"/>
    <w:rsid w:val="008A1DBF"/>
    <w:rsid w:val="008A58D4"/>
    <w:rsid w:val="008A65C7"/>
    <w:rsid w:val="008C633C"/>
    <w:rsid w:val="008D1811"/>
    <w:rsid w:val="008D648D"/>
    <w:rsid w:val="008D77D2"/>
    <w:rsid w:val="008E2F8A"/>
    <w:rsid w:val="008F2164"/>
    <w:rsid w:val="00903043"/>
    <w:rsid w:val="00906B4B"/>
    <w:rsid w:val="00912374"/>
    <w:rsid w:val="00930BBF"/>
    <w:rsid w:val="00933A32"/>
    <w:rsid w:val="00933C5C"/>
    <w:rsid w:val="00933F02"/>
    <w:rsid w:val="0094184E"/>
    <w:rsid w:val="00951B93"/>
    <w:rsid w:val="009718CD"/>
    <w:rsid w:val="00971BA6"/>
    <w:rsid w:val="009765E2"/>
    <w:rsid w:val="00983B3B"/>
    <w:rsid w:val="00993FB9"/>
    <w:rsid w:val="009962E2"/>
    <w:rsid w:val="00997EC4"/>
    <w:rsid w:val="009B1116"/>
    <w:rsid w:val="009B6211"/>
    <w:rsid w:val="009D63F7"/>
    <w:rsid w:val="009E5190"/>
    <w:rsid w:val="009E5E33"/>
    <w:rsid w:val="009F0846"/>
    <w:rsid w:val="00A036AC"/>
    <w:rsid w:val="00A04AE4"/>
    <w:rsid w:val="00A10D7B"/>
    <w:rsid w:val="00A11383"/>
    <w:rsid w:val="00A139B8"/>
    <w:rsid w:val="00A22575"/>
    <w:rsid w:val="00A3338F"/>
    <w:rsid w:val="00A3564C"/>
    <w:rsid w:val="00A528BF"/>
    <w:rsid w:val="00A54B24"/>
    <w:rsid w:val="00A55476"/>
    <w:rsid w:val="00A5764C"/>
    <w:rsid w:val="00A62C80"/>
    <w:rsid w:val="00A67DBC"/>
    <w:rsid w:val="00A74807"/>
    <w:rsid w:val="00A811C7"/>
    <w:rsid w:val="00A913EF"/>
    <w:rsid w:val="00A933D8"/>
    <w:rsid w:val="00A97266"/>
    <w:rsid w:val="00AA3C4D"/>
    <w:rsid w:val="00AA5DEB"/>
    <w:rsid w:val="00AA66A6"/>
    <w:rsid w:val="00AB1959"/>
    <w:rsid w:val="00AB4345"/>
    <w:rsid w:val="00AB47D4"/>
    <w:rsid w:val="00AC4A8A"/>
    <w:rsid w:val="00AD0615"/>
    <w:rsid w:val="00AE06B2"/>
    <w:rsid w:val="00AE1799"/>
    <w:rsid w:val="00AE19AB"/>
    <w:rsid w:val="00AE4C0F"/>
    <w:rsid w:val="00AF1B6E"/>
    <w:rsid w:val="00AF231D"/>
    <w:rsid w:val="00AF7132"/>
    <w:rsid w:val="00B13729"/>
    <w:rsid w:val="00B16448"/>
    <w:rsid w:val="00B24920"/>
    <w:rsid w:val="00B26558"/>
    <w:rsid w:val="00B27A7D"/>
    <w:rsid w:val="00B30E5F"/>
    <w:rsid w:val="00B32B75"/>
    <w:rsid w:val="00B36A64"/>
    <w:rsid w:val="00B45F30"/>
    <w:rsid w:val="00B461ED"/>
    <w:rsid w:val="00B50176"/>
    <w:rsid w:val="00B50E99"/>
    <w:rsid w:val="00B51C16"/>
    <w:rsid w:val="00B55724"/>
    <w:rsid w:val="00B561B1"/>
    <w:rsid w:val="00B6099F"/>
    <w:rsid w:val="00B820E2"/>
    <w:rsid w:val="00B84B9B"/>
    <w:rsid w:val="00B85634"/>
    <w:rsid w:val="00B948E2"/>
    <w:rsid w:val="00B96E10"/>
    <w:rsid w:val="00B97267"/>
    <w:rsid w:val="00B9794B"/>
    <w:rsid w:val="00BA5CE6"/>
    <w:rsid w:val="00BA7649"/>
    <w:rsid w:val="00BC0B70"/>
    <w:rsid w:val="00BD0983"/>
    <w:rsid w:val="00BE478D"/>
    <w:rsid w:val="00BE76B6"/>
    <w:rsid w:val="00C1040B"/>
    <w:rsid w:val="00C11F98"/>
    <w:rsid w:val="00C2024D"/>
    <w:rsid w:val="00C273E8"/>
    <w:rsid w:val="00C2763B"/>
    <w:rsid w:val="00C32CAB"/>
    <w:rsid w:val="00C36437"/>
    <w:rsid w:val="00C451BD"/>
    <w:rsid w:val="00C47A74"/>
    <w:rsid w:val="00C62B5D"/>
    <w:rsid w:val="00C67FB3"/>
    <w:rsid w:val="00C80CF7"/>
    <w:rsid w:val="00C87902"/>
    <w:rsid w:val="00C937B5"/>
    <w:rsid w:val="00CA6311"/>
    <w:rsid w:val="00CA6883"/>
    <w:rsid w:val="00CB49F0"/>
    <w:rsid w:val="00CB4BE2"/>
    <w:rsid w:val="00CC4397"/>
    <w:rsid w:val="00CD0C1D"/>
    <w:rsid w:val="00CD4F2A"/>
    <w:rsid w:val="00CE0E94"/>
    <w:rsid w:val="00CE64FB"/>
    <w:rsid w:val="00CF6F94"/>
    <w:rsid w:val="00D20AB5"/>
    <w:rsid w:val="00D25ED2"/>
    <w:rsid w:val="00D306AE"/>
    <w:rsid w:val="00D407BD"/>
    <w:rsid w:val="00D43EC4"/>
    <w:rsid w:val="00D60FC1"/>
    <w:rsid w:val="00D6318A"/>
    <w:rsid w:val="00D8074E"/>
    <w:rsid w:val="00D8288A"/>
    <w:rsid w:val="00D906A9"/>
    <w:rsid w:val="00D9184F"/>
    <w:rsid w:val="00DA41F0"/>
    <w:rsid w:val="00DB3266"/>
    <w:rsid w:val="00DC0331"/>
    <w:rsid w:val="00DC5BAE"/>
    <w:rsid w:val="00DC792D"/>
    <w:rsid w:val="00DE1529"/>
    <w:rsid w:val="00DF5F8F"/>
    <w:rsid w:val="00DF7DB7"/>
    <w:rsid w:val="00E011D4"/>
    <w:rsid w:val="00E161A2"/>
    <w:rsid w:val="00E236DB"/>
    <w:rsid w:val="00E23EF0"/>
    <w:rsid w:val="00E308DC"/>
    <w:rsid w:val="00E364ED"/>
    <w:rsid w:val="00E36D6E"/>
    <w:rsid w:val="00E42775"/>
    <w:rsid w:val="00E44DC3"/>
    <w:rsid w:val="00E470F4"/>
    <w:rsid w:val="00E65A45"/>
    <w:rsid w:val="00E71874"/>
    <w:rsid w:val="00E84BB7"/>
    <w:rsid w:val="00E850A8"/>
    <w:rsid w:val="00E941D3"/>
    <w:rsid w:val="00E9588B"/>
    <w:rsid w:val="00EA1794"/>
    <w:rsid w:val="00EA1A6F"/>
    <w:rsid w:val="00EA5F96"/>
    <w:rsid w:val="00EB22D0"/>
    <w:rsid w:val="00EB4FD2"/>
    <w:rsid w:val="00EB5DD3"/>
    <w:rsid w:val="00EC5B79"/>
    <w:rsid w:val="00ED65F7"/>
    <w:rsid w:val="00ED67BD"/>
    <w:rsid w:val="00EE0CFD"/>
    <w:rsid w:val="00EE0EEB"/>
    <w:rsid w:val="00EE17A7"/>
    <w:rsid w:val="00EE5B8B"/>
    <w:rsid w:val="00EF0307"/>
    <w:rsid w:val="00EF14CB"/>
    <w:rsid w:val="00EF2AE3"/>
    <w:rsid w:val="00F0385A"/>
    <w:rsid w:val="00F120BB"/>
    <w:rsid w:val="00F160FC"/>
    <w:rsid w:val="00F2404A"/>
    <w:rsid w:val="00F334DB"/>
    <w:rsid w:val="00F348CC"/>
    <w:rsid w:val="00F47053"/>
    <w:rsid w:val="00F47C04"/>
    <w:rsid w:val="00F53085"/>
    <w:rsid w:val="00F55951"/>
    <w:rsid w:val="00F61926"/>
    <w:rsid w:val="00F654C4"/>
    <w:rsid w:val="00F65C54"/>
    <w:rsid w:val="00F7452A"/>
    <w:rsid w:val="00F776D1"/>
    <w:rsid w:val="00F852A0"/>
    <w:rsid w:val="00F919AD"/>
    <w:rsid w:val="00F934D4"/>
    <w:rsid w:val="00F95DC9"/>
    <w:rsid w:val="00FA014C"/>
    <w:rsid w:val="00FB5840"/>
    <w:rsid w:val="00FB69DB"/>
    <w:rsid w:val="00FC167C"/>
    <w:rsid w:val="00FC17A5"/>
    <w:rsid w:val="00FD6A38"/>
    <w:rsid w:val="00FE7C4C"/>
    <w:rsid w:val="00FE7E0B"/>
    <w:rsid w:val="01823F9A"/>
    <w:rsid w:val="024141DC"/>
    <w:rsid w:val="02C30830"/>
    <w:rsid w:val="038B1173"/>
    <w:rsid w:val="04646540"/>
    <w:rsid w:val="052C01DE"/>
    <w:rsid w:val="05C759B7"/>
    <w:rsid w:val="05D3506E"/>
    <w:rsid w:val="060F362A"/>
    <w:rsid w:val="06AA3528"/>
    <w:rsid w:val="06CF7C57"/>
    <w:rsid w:val="074A1D85"/>
    <w:rsid w:val="07AB659E"/>
    <w:rsid w:val="087026C9"/>
    <w:rsid w:val="09C769E9"/>
    <w:rsid w:val="0A0D4857"/>
    <w:rsid w:val="0A79412F"/>
    <w:rsid w:val="0AC124A9"/>
    <w:rsid w:val="0AEA483A"/>
    <w:rsid w:val="0BD36DA5"/>
    <w:rsid w:val="0C4A20F5"/>
    <w:rsid w:val="0F02696A"/>
    <w:rsid w:val="0F0B3E92"/>
    <w:rsid w:val="0FB7665A"/>
    <w:rsid w:val="100750E1"/>
    <w:rsid w:val="109951E3"/>
    <w:rsid w:val="116B4C86"/>
    <w:rsid w:val="11791639"/>
    <w:rsid w:val="12171C1C"/>
    <w:rsid w:val="125411F1"/>
    <w:rsid w:val="136F6EA1"/>
    <w:rsid w:val="155D7127"/>
    <w:rsid w:val="170B1A54"/>
    <w:rsid w:val="170E51FA"/>
    <w:rsid w:val="172123D6"/>
    <w:rsid w:val="17D61589"/>
    <w:rsid w:val="17F90E7B"/>
    <w:rsid w:val="17FB6783"/>
    <w:rsid w:val="18D6499A"/>
    <w:rsid w:val="18EC7753"/>
    <w:rsid w:val="19131989"/>
    <w:rsid w:val="1921091E"/>
    <w:rsid w:val="19A670B8"/>
    <w:rsid w:val="19D21766"/>
    <w:rsid w:val="1A361FF9"/>
    <w:rsid w:val="1AA61B61"/>
    <w:rsid w:val="1B412331"/>
    <w:rsid w:val="1B4350B1"/>
    <w:rsid w:val="1C274FAD"/>
    <w:rsid w:val="1CBE3D2B"/>
    <w:rsid w:val="1DE31CDD"/>
    <w:rsid w:val="1EB96835"/>
    <w:rsid w:val="1EEC62CA"/>
    <w:rsid w:val="1EEE1768"/>
    <w:rsid w:val="1F7B6666"/>
    <w:rsid w:val="207B43A0"/>
    <w:rsid w:val="21146736"/>
    <w:rsid w:val="21B70B7B"/>
    <w:rsid w:val="2209332C"/>
    <w:rsid w:val="22821F7B"/>
    <w:rsid w:val="22FC067C"/>
    <w:rsid w:val="230E11C0"/>
    <w:rsid w:val="23253882"/>
    <w:rsid w:val="23E548CE"/>
    <w:rsid w:val="2435179B"/>
    <w:rsid w:val="243A3A51"/>
    <w:rsid w:val="248147E3"/>
    <w:rsid w:val="24A939BC"/>
    <w:rsid w:val="25FB39CE"/>
    <w:rsid w:val="269C4A95"/>
    <w:rsid w:val="26BC5523"/>
    <w:rsid w:val="285E14BB"/>
    <w:rsid w:val="28A20E77"/>
    <w:rsid w:val="292D3028"/>
    <w:rsid w:val="293C79E4"/>
    <w:rsid w:val="295126A7"/>
    <w:rsid w:val="299F5316"/>
    <w:rsid w:val="29DB600A"/>
    <w:rsid w:val="2A3C46D9"/>
    <w:rsid w:val="2C6625D7"/>
    <w:rsid w:val="2C91271F"/>
    <w:rsid w:val="2CBD0053"/>
    <w:rsid w:val="2E3A7FB4"/>
    <w:rsid w:val="2EEE72F4"/>
    <w:rsid w:val="2F0D7488"/>
    <w:rsid w:val="2FF224B3"/>
    <w:rsid w:val="30A71790"/>
    <w:rsid w:val="30E82ACF"/>
    <w:rsid w:val="32713650"/>
    <w:rsid w:val="346668EB"/>
    <w:rsid w:val="35F27CD7"/>
    <w:rsid w:val="36BE50F4"/>
    <w:rsid w:val="36D43218"/>
    <w:rsid w:val="37251D7A"/>
    <w:rsid w:val="38044A45"/>
    <w:rsid w:val="3A9634BF"/>
    <w:rsid w:val="3AAC0834"/>
    <w:rsid w:val="3C8C3401"/>
    <w:rsid w:val="3CC57C84"/>
    <w:rsid w:val="3CFE08DC"/>
    <w:rsid w:val="3D0A1D4B"/>
    <w:rsid w:val="3D5F318D"/>
    <w:rsid w:val="3D8E7327"/>
    <w:rsid w:val="3DB17FDA"/>
    <w:rsid w:val="3E0C3169"/>
    <w:rsid w:val="3E0D1196"/>
    <w:rsid w:val="3EFD1592"/>
    <w:rsid w:val="3FEFF404"/>
    <w:rsid w:val="40957F9D"/>
    <w:rsid w:val="419B183E"/>
    <w:rsid w:val="41FD4204"/>
    <w:rsid w:val="421716CF"/>
    <w:rsid w:val="43653CBF"/>
    <w:rsid w:val="440B6676"/>
    <w:rsid w:val="4425204A"/>
    <w:rsid w:val="448F7F1D"/>
    <w:rsid w:val="4554481F"/>
    <w:rsid w:val="45B048FC"/>
    <w:rsid w:val="45F36B68"/>
    <w:rsid w:val="4638759E"/>
    <w:rsid w:val="464078D3"/>
    <w:rsid w:val="46C2346E"/>
    <w:rsid w:val="479552EA"/>
    <w:rsid w:val="49002C55"/>
    <w:rsid w:val="49477B60"/>
    <w:rsid w:val="4AE75ED7"/>
    <w:rsid w:val="4BC026E2"/>
    <w:rsid w:val="4E4F0A6E"/>
    <w:rsid w:val="5171314B"/>
    <w:rsid w:val="527728CF"/>
    <w:rsid w:val="533B440B"/>
    <w:rsid w:val="540B2201"/>
    <w:rsid w:val="54334390"/>
    <w:rsid w:val="55103AE6"/>
    <w:rsid w:val="559E055C"/>
    <w:rsid w:val="55B72302"/>
    <w:rsid w:val="562543DE"/>
    <w:rsid w:val="580C44B1"/>
    <w:rsid w:val="58EF4EE6"/>
    <w:rsid w:val="58F157A7"/>
    <w:rsid w:val="59B3156B"/>
    <w:rsid w:val="5A2813B3"/>
    <w:rsid w:val="5C4C0928"/>
    <w:rsid w:val="5C5477DD"/>
    <w:rsid w:val="5D707C59"/>
    <w:rsid w:val="5DA56542"/>
    <w:rsid w:val="5DBBF475"/>
    <w:rsid w:val="5E4758ED"/>
    <w:rsid w:val="5E5C4038"/>
    <w:rsid w:val="5EBCE606"/>
    <w:rsid w:val="5EFC7432"/>
    <w:rsid w:val="5F27149F"/>
    <w:rsid w:val="5F8F0829"/>
    <w:rsid w:val="5FFFBB04"/>
    <w:rsid w:val="62F64888"/>
    <w:rsid w:val="63575A49"/>
    <w:rsid w:val="63AE2D68"/>
    <w:rsid w:val="641E2415"/>
    <w:rsid w:val="64550FB0"/>
    <w:rsid w:val="659B3A79"/>
    <w:rsid w:val="65A1707F"/>
    <w:rsid w:val="65FF779E"/>
    <w:rsid w:val="660B3716"/>
    <w:rsid w:val="661C5E23"/>
    <w:rsid w:val="66B82643"/>
    <w:rsid w:val="67B745C3"/>
    <w:rsid w:val="69D06E0C"/>
    <w:rsid w:val="6A97346D"/>
    <w:rsid w:val="6D8415F7"/>
    <w:rsid w:val="70110DCA"/>
    <w:rsid w:val="70395062"/>
    <w:rsid w:val="71125F2A"/>
    <w:rsid w:val="71A0072E"/>
    <w:rsid w:val="73612874"/>
    <w:rsid w:val="74986E17"/>
    <w:rsid w:val="75137DDD"/>
    <w:rsid w:val="7604134D"/>
    <w:rsid w:val="77FE83D3"/>
    <w:rsid w:val="784E4B2C"/>
    <w:rsid w:val="78CF7BFA"/>
    <w:rsid w:val="795617FE"/>
    <w:rsid w:val="79C21A07"/>
    <w:rsid w:val="7B842A23"/>
    <w:rsid w:val="7D140584"/>
    <w:rsid w:val="7D8F00D3"/>
    <w:rsid w:val="7DEBA4A6"/>
    <w:rsid w:val="7E8251F3"/>
    <w:rsid w:val="7F194051"/>
    <w:rsid w:val="7F6BDF83"/>
    <w:rsid w:val="7F7F0200"/>
    <w:rsid w:val="7FB10280"/>
    <w:rsid w:val="7FED5D16"/>
    <w:rsid w:val="7FFA2B79"/>
    <w:rsid w:val="AFBFD38F"/>
    <w:rsid w:val="B32B3942"/>
    <w:rsid w:val="C7777131"/>
    <w:rsid w:val="D6B74218"/>
    <w:rsid w:val="DBFF306A"/>
    <w:rsid w:val="DFF337DB"/>
    <w:rsid w:val="ECF927F5"/>
    <w:rsid w:val="F337C932"/>
    <w:rsid w:val="F3FB2440"/>
    <w:rsid w:val="F762156C"/>
    <w:rsid w:val="FBED7AAB"/>
    <w:rsid w:val="FCFE8BD7"/>
    <w:rsid w:val="FEE909D5"/>
    <w:rsid w:val="FFFB61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40"/>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0"/>
    <w:rPr>
      <w:rFonts w:eastAsia="黑体" w:asciiTheme="majorHAnsi" w:hAnsiTheme="majorHAnsi" w:cstheme="majorBidi"/>
      <w:sz w:val="20"/>
      <w:szCs w:val="20"/>
    </w:r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spacing w:line="520" w:lineRule="exact"/>
      <w:ind w:firstLine="640"/>
    </w:pPr>
    <w:rPr>
      <w:rFonts w:ascii="仿宋_GB2312" w:eastAsia="仿宋_GB2312"/>
      <w:sz w:val="32"/>
      <w:lang w:bidi="he-IL"/>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45" w:after="45" w:line="432" w:lineRule="auto"/>
      <w:ind w:right="150" w:firstLine="480"/>
      <w:jc w:val="left"/>
    </w:pPr>
    <w:rPr>
      <w:rFonts w:ascii="宋体" w:hAnsi="宋体" w:cs="宋体"/>
      <w:kern w:val="0"/>
      <w:sz w:val="24"/>
    </w:rPr>
  </w:style>
  <w:style w:type="character" w:styleId="14">
    <w:name w:val="page number"/>
    <w:basedOn w:val="13"/>
    <w:qFormat/>
    <w:uiPriority w:val="0"/>
  </w:style>
  <w:style w:type="character" w:styleId="15">
    <w:name w:val="Hyperlink"/>
    <w:qFormat/>
    <w:uiPriority w:val="0"/>
    <w:rPr>
      <w:color w:val="0000FF"/>
      <w:u w:val="single"/>
    </w:rPr>
  </w:style>
  <w:style w:type="character" w:customStyle="1" w:styleId="16">
    <w:name w:val="font61"/>
    <w:qFormat/>
    <w:uiPriority w:val="0"/>
    <w:rPr>
      <w:rFonts w:hint="eastAsia" w:ascii="宋体" w:hAnsi="宋体" w:eastAsia="宋体" w:cs="宋体"/>
      <w:b/>
      <w:color w:val="000000"/>
      <w:sz w:val="16"/>
      <w:szCs w:val="16"/>
      <w:u w:val="none"/>
    </w:rPr>
  </w:style>
  <w:style w:type="character" w:customStyle="1" w:styleId="17">
    <w:name w:val="font11"/>
    <w:qFormat/>
    <w:uiPriority w:val="0"/>
    <w:rPr>
      <w:rFonts w:hint="eastAsia" w:ascii="宋体" w:hAnsi="宋体" w:eastAsia="宋体" w:cs="宋体"/>
      <w:color w:val="000000"/>
      <w:sz w:val="16"/>
      <w:szCs w:val="16"/>
      <w:u w:val="none"/>
    </w:rPr>
  </w:style>
  <w:style w:type="paragraph" w:customStyle="1" w:styleId="18">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style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常规"/>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1">
    <w:name w:val="Char Char1"/>
    <w:basedOn w:val="1"/>
    <w:qFormat/>
    <w:uiPriority w:val="0"/>
    <w:pPr>
      <w:widowControl/>
      <w:spacing w:line="360" w:lineRule="auto"/>
    </w:pPr>
    <w:rPr>
      <w:rFonts w:ascii="Verdana" w:hAnsi="Verdana" w:eastAsia="仿宋_GB2312"/>
      <w:kern w:val="0"/>
      <w:sz w:val="24"/>
      <w:szCs w:val="20"/>
      <w:lang w:eastAsia="en-US"/>
    </w:rPr>
  </w:style>
  <w:style w:type="paragraph" w:customStyle="1" w:styleId="2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
    <w:name w:val="xl38"/>
    <w:basedOn w:val="19"/>
    <w:qFormat/>
    <w:uiPriority w:val="0"/>
    <w:pPr>
      <w:textAlignment w:val="bottom"/>
    </w:pPr>
    <w:rPr>
      <w:color w:val="000000"/>
      <w:sz w:val="16"/>
      <w:szCs w:val="16"/>
    </w:rPr>
  </w:style>
  <w:style w:type="paragraph" w:styleId="2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F3177-6E03-490A-AC3A-F4EBA98AEA18}">
  <ds:schemaRefs/>
</ds:datastoreItem>
</file>

<file path=docProps/app.xml><?xml version="1.0" encoding="utf-8"?>
<Properties xmlns="http://schemas.openxmlformats.org/officeDocument/2006/extended-properties" xmlns:vt="http://schemas.openxmlformats.org/officeDocument/2006/docPropsVTypes">
  <Template>Normal</Template>
  <Pages>18</Pages>
  <Words>691</Words>
  <Characters>3940</Characters>
  <Lines>32</Lines>
  <Paragraphs>9</Paragraphs>
  <TotalTime>81</TotalTime>
  <ScaleCrop>false</ScaleCrop>
  <LinksUpToDate>false</LinksUpToDate>
  <CharactersWithSpaces>4622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2022-02-18T08:56:00Z</dcterms:created>
  <dc:creator>ylj</dc:creator>
  <cp:lastModifiedBy>晴天</cp:lastModifiedBy>
  <cp:lastPrinted>2022-02-13T04:32:00Z</cp:lastPrinted>
  <dcterms:modified xsi:type="dcterms:W3CDTF">2022-02-25T11:07:18Z</dcterms:modified>
  <dc:title>自治区人口和计划生育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3973499D2F32485CA18667B0C84D1C1E</vt:lpwstr>
  </property>
</Properties>
</file>