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center"/>
      </w:pPr>
      <w:bookmarkStart w:id="0" w:name="_Toc175584230"/>
      <w:r>
        <w:rPr>
          <w:rFonts w:hint="eastAsia"/>
        </w:rPr>
        <w:t>网络安全运维服务清单</w:t>
      </w:r>
      <w:bookmarkEnd w:id="0"/>
    </w:p>
    <w:tbl>
      <w:tblPr>
        <w:tblStyle w:val="4"/>
        <w:tblW w:w="9065" w:type="dxa"/>
        <w:tblInd w:w="0" w:type="dxa"/>
        <w:tblLayout w:type="fixed"/>
        <w:tblCellMar>
          <w:top w:w="0" w:type="dxa"/>
          <w:left w:w="108" w:type="dxa"/>
          <w:bottom w:w="0" w:type="dxa"/>
          <w:right w:w="108" w:type="dxa"/>
        </w:tblCellMar>
      </w:tblPr>
      <w:tblGrid>
        <w:gridCol w:w="557"/>
        <w:gridCol w:w="960"/>
        <w:gridCol w:w="4308"/>
        <w:gridCol w:w="563"/>
        <w:gridCol w:w="525"/>
        <w:gridCol w:w="2152"/>
      </w:tblGrid>
      <w:tr>
        <w:tblPrEx>
          <w:tblCellMar>
            <w:top w:w="0" w:type="dxa"/>
            <w:left w:w="108" w:type="dxa"/>
            <w:bottom w:w="0" w:type="dxa"/>
            <w:right w:w="108" w:type="dxa"/>
          </w:tblCellMar>
        </w:tblPrEx>
        <w:trPr>
          <w:trHeight w:val="288" w:hRule="atLeast"/>
        </w:trPr>
        <w:tc>
          <w:tcPr>
            <w:tcW w:w="557"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spacing w:line="240" w:lineRule="auto"/>
              <w:ind w:firstLine="0" w:firstLineChars="0"/>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序号</w:t>
            </w:r>
          </w:p>
        </w:tc>
        <w:tc>
          <w:tcPr>
            <w:tcW w:w="960" w:type="dxa"/>
            <w:tcBorders>
              <w:top w:val="single" w:color="auto" w:sz="8" w:space="0"/>
              <w:left w:val="nil"/>
              <w:bottom w:val="nil"/>
              <w:right w:val="single" w:color="auto" w:sz="8" w:space="0"/>
            </w:tcBorders>
            <w:noWrap w:val="0"/>
            <w:vAlign w:val="center"/>
          </w:tcPr>
          <w:p>
            <w:pPr>
              <w:widowControl/>
              <w:spacing w:line="240" w:lineRule="auto"/>
              <w:ind w:firstLine="0" w:firstLineChars="0"/>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服务</w:t>
            </w:r>
          </w:p>
        </w:tc>
        <w:tc>
          <w:tcPr>
            <w:tcW w:w="4308"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spacing w:line="240" w:lineRule="auto"/>
              <w:ind w:firstLine="0" w:firstLineChars="0"/>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服务说明</w:t>
            </w:r>
          </w:p>
        </w:tc>
        <w:tc>
          <w:tcPr>
            <w:tcW w:w="563"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spacing w:line="240" w:lineRule="auto"/>
              <w:ind w:firstLine="0" w:firstLineChars="0"/>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数量</w:t>
            </w:r>
          </w:p>
        </w:tc>
        <w:tc>
          <w:tcPr>
            <w:tcW w:w="525"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spacing w:line="240" w:lineRule="auto"/>
              <w:ind w:firstLine="0" w:firstLineChars="0"/>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单位</w:t>
            </w:r>
          </w:p>
        </w:tc>
        <w:tc>
          <w:tcPr>
            <w:tcW w:w="2152"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spacing w:line="240" w:lineRule="auto"/>
              <w:ind w:firstLine="0" w:firstLineChars="0"/>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备注</w:t>
            </w:r>
          </w:p>
        </w:tc>
      </w:tr>
      <w:tr>
        <w:tblPrEx>
          <w:tblCellMar>
            <w:top w:w="0" w:type="dxa"/>
            <w:left w:w="108" w:type="dxa"/>
            <w:bottom w:w="0" w:type="dxa"/>
            <w:right w:w="108" w:type="dxa"/>
          </w:tblCellMar>
        </w:tblPrEx>
        <w:trPr>
          <w:trHeight w:val="300" w:hRule="atLeast"/>
        </w:trPr>
        <w:tc>
          <w:tcPr>
            <w:tcW w:w="557"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spacing w:line="240" w:lineRule="auto"/>
              <w:ind w:firstLine="0" w:firstLineChars="0"/>
              <w:jc w:val="left"/>
              <w:rPr>
                <w:rFonts w:ascii="仿宋" w:hAnsi="仿宋" w:eastAsia="仿宋" w:cs="宋体"/>
                <w:b/>
                <w:bCs/>
                <w:color w:val="000000"/>
                <w:kern w:val="0"/>
                <w:sz w:val="22"/>
                <w:szCs w:val="22"/>
              </w:rPr>
            </w:pPr>
          </w:p>
        </w:tc>
        <w:tc>
          <w:tcPr>
            <w:tcW w:w="960"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名称</w:t>
            </w:r>
          </w:p>
        </w:tc>
        <w:tc>
          <w:tcPr>
            <w:tcW w:w="4308"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spacing w:line="240" w:lineRule="auto"/>
              <w:ind w:firstLine="0" w:firstLineChars="0"/>
              <w:jc w:val="left"/>
              <w:rPr>
                <w:rFonts w:ascii="仿宋" w:hAnsi="仿宋" w:eastAsia="仿宋" w:cs="宋体"/>
                <w:b/>
                <w:bCs/>
                <w:color w:val="000000"/>
                <w:kern w:val="0"/>
                <w:sz w:val="22"/>
                <w:szCs w:val="22"/>
              </w:rPr>
            </w:pPr>
          </w:p>
        </w:tc>
        <w:tc>
          <w:tcPr>
            <w:tcW w:w="563"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spacing w:line="240" w:lineRule="auto"/>
              <w:ind w:firstLine="0" w:firstLineChars="0"/>
              <w:jc w:val="left"/>
              <w:rPr>
                <w:rFonts w:ascii="仿宋" w:hAnsi="仿宋" w:eastAsia="仿宋" w:cs="宋体"/>
                <w:b/>
                <w:bCs/>
                <w:color w:val="000000"/>
                <w:kern w:val="0"/>
                <w:sz w:val="22"/>
                <w:szCs w:val="22"/>
              </w:rPr>
            </w:pPr>
          </w:p>
        </w:tc>
        <w:tc>
          <w:tcPr>
            <w:tcW w:w="525"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spacing w:line="240" w:lineRule="auto"/>
              <w:ind w:firstLine="0" w:firstLineChars="0"/>
              <w:jc w:val="left"/>
              <w:rPr>
                <w:rFonts w:ascii="仿宋" w:hAnsi="仿宋" w:eastAsia="仿宋" w:cs="宋体"/>
                <w:b/>
                <w:bCs/>
                <w:color w:val="000000"/>
                <w:kern w:val="0"/>
                <w:sz w:val="22"/>
                <w:szCs w:val="22"/>
              </w:rPr>
            </w:pPr>
          </w:p>
        </w:tc>
        <w:tc>
          <w:tcPr>
            <w:tcW w:w="2152"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spacing w:line="240" w:lineRule="auto"/>
              <w:ind w:firstLine="0" w:firstLineChars="0"/>
              <w:jc w:val="left"/>
              <w:rPr>
                <w:rFonts w:ascii="仿宋" w:hAnsi="仿宋" w:eastAsia="仿宋" w:cs="宋体"/>
                <w:b/>
                <w:bCs/>
                <w:color w:val="000000"/>
                <w:kern w:val="0"/>
                <w:sz w:val="22"/>
                <w:szCs w:val="22"/>
              </w:rPr>
            </w:pPr>
          </w:p>
        </w:tc>
      </w:tr>
      <w:tr>
        <w:tblPrEx>
          <w:tblCellMar>
            <w:top w:w="0" w:type="dxa"/>
            <w:left w:w="108" w:type="dxa"/>
            <w:bottom w:w="0" w:type="dxa"/>
            <w:right w:w="108" w:type="dxa"/>
          </w:tblCellMar>
        </w:tblPrEx>
        <w:trPr>
          <w:trHeight w:val="1164" w:hRule="atLeast"/>
        </w:trPr>
        <w:tc>
          <w:tcPr>
            <w:tcW w:w="557" w:type="dxa"/>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960"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基础安全服务</w:t>
            </w:r>
          </w:p>
        </w:tc>
        <w:tc>
          <w:tcPr>
            <w:tcW w:w="4308" w:type="dxa"/>
            <w:tcBorders>
              <w:top w:val="nil"/>
              <w:left w:val="nil"/>
              <w:bottom w:val="single" w:color="auto" w:sz="8" w:space="0"/>
              <w:right w:val="single" w:color="auto" w:sz="8" w:space="0"/>
            </w:tcBorders>
            <w:noWrap w:val="0"/>
            <w:vAlign w:val="center"/>
          </w:tcPr>
          <w:p>
            <w:pPr>
              <w:widowControl/>
              <w:spacing w:line="240" w:lineRule="auto"/>
              <w:ind w:firstLine="0" w:firstLineChars="0"/>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根据客户需求，通过模拟用户登录、访问的过程，测试应用系统的最大并发连接数，并根据系统所承受的最大连接数调整业务配置，充分发挥业务系统运行能力，服务期内对重要应用提供一次测试。</w:t>
            </w:r>
          </w:p>
        </w:tc>
        <w:tc>
          <w:tcPr>
            <w:tcW w:w="563"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525"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次</w:t>
            </w:r>
          </w:p>
        </w:tc>
        <w:tc>
          <w:tcPr>
            <w:tcW w:w="2152" w:type="dxa"/>
            <w:tcBorders>
              <w:top w:val="nil"/>
              <w:left w:val="nil"/>
              <w:bottom w:val="single" w:color="auto" w:sz="8" w:space="0"/>
              <w:right w:val="single" w:color="auto" w:sz="8" w:space="0"/>
            </w:tcBorders>
            <w:noWrap w:val="0"/>
            <w:vAlign w:val="center"/>
          </w:tcPr>
          <w:p>
            <w:pPr>
              <w:widowControl/>
              <w:spacing w:line="240" w:lineRule="auto"/>
              <w:ind w:firstLine="0" w:firstLineChars="0"/>
              <w:rPr>
                <w:rFonts w:ascii="仿宋" w:hAnsi="仿宋" w:eastAsia="仿宋" w:cs="宋体"/>
                <w:color w:val="000000"/>
                <w:kern w:val="0"/>
                <w:sz w:val="22"/>
                <w:szCs w:val="22"/>
              </w:rPr>
            </w:pPr>
            <w:r>
              <w:rPr>
                <w:rFonts w:hint="eastAsia" w:ascii="仿宋" w:hAnsi="仿宋" w:eastAsia="仿宋" w:cs="宋体"/>
                <w:color w:val="000000"/>
                <w:kern w:val="0"/>
                <w:sz w:val="22"/>
                <w:szCs w:val="22"/>
              </w:rPr>
              <w:t>服务期内提供一次模拟测试并发登录场景，交付《并发测试报告》并提供解决建议。</w:t>
            </w:r>
          </w:p>
        </w:tc>
      </w:tr>
      <w:tr>
        <w:tblPrEx>
          <w:tblCellMar>
            <w:top w:w="0" w:type="dxa"/>
            <w:left w:w="108" w:type="dxa"/>
            <w:bottom w:w="0" w:type="dxa"/>
            <w:right w:w="108" w:type="dxa"/>
          </w:tblCellMar>
        </w:tblPrEx>
        <w:trPr>
          <w:trHeight w:val="2316" w:hRule="atLeast"/>
        </w:trPr>
        <w:tc>
          <w:tcPr>
            <w:tcW w:w="557" w:type="dxa"/>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c>
          <w:tcPr>
            <w:tcW w:w="960"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边界完整性检查</w:t>
            </w:r>
          </w:p>
        </w:tc>
        <w:tc>
          <w:tcPr>
            <w:tcW w:w="4308" w:type="dxa"/>
            <w:tcBorders>
              <w:top w:val="nil"/>
              <w:left w:val="nil"/>
              <w:bottom w:val="single" w:color="auto" w:sz="8" w:space="0"/>
              <w:right w:val="single" w:color="auto" w:sz="8" w:space="0"/>
            </w:tcBorders>
            <w:noWrap w:val="0"/>
            <w:vAlign w:val="center"/>
          </w:tcPr>
          <w:p>
            <w:pPr>
              <w:widowControl/>
              <w:spacing w:line="240" w:lineRule="auto"/>
              <w:ind w:firstLine="0" w:firstLineChars="0"/>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主要用于识别跨防火墙、跨边界的网络、操作系统、数据库系统等设备和系统的脆弱性，发现系统软件、应用软件、网络和硬件中已知的弱点，如非法账号、弱口令、权限配置错误、系统补丁、文件目录及文件系统安全、不必要的端口和服务等，以决定系统是否易受到已知攻击的影响以及验证区域间访问控制策略是否有效。本项服务主要提供模拟黑客攻击渗透测试类工作。</w:t>
            </w:r>
          </w:p>
        </w:tc>
        <w:tc>
          <w:tcPr>
            <w:tcW w:w="563"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525"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次</w:t>
            </w:r>
          </w:p>
        </w:tc>
        <w:tc>
          <w:tcPr>
            <w:tcW w:w="2152" w:type="dxa"/>
            <w:tcBorders>
              <w:top w:val="nil"/>
              <w:left w:val="nil"/>
              <w:bottom w:val="single" w:color="auto" w:sz="8" w:space="0"/>
              <w:right w:val="single" w:color="auto" w:sz="8" w:space="0"/>
            </w:tcBorders>
            <w:noWrap w:val="0"/>
            <w:vAlign w:val="center"/>
          </w:tcPr>
          <w:p>
            <w:pPr>
              <w:widowControl/>
              <w:spacing w:line="240" w:lineRule="auto"/>
              <w:ind w:firstLine="0" w:firstLineChars="0"/>
              <w:rPr>
                <w:rFonts w:ascii="仿宋" w:hAnsi="仿宋" w:eastAsia="仿宋" w:cs="宋体"/>
                <w:color w:val="000000"/>
                <w:kern w:val="0"/>
                <w:sz w:val="22"/>
                <w:szCs w:val="22"/>
              </w:rPr>
            </w:pPr>
            <w:r>
              <w:rPr>
                <w:rFonts w:hint="eastAsia" w:ascii="仿宋" w:hAnsi="仿宋" w:eastAsia="仿宋" w:cs="宋体"/>
                <w:color w:val="000000"/>
                <w:kern w:val="0"/>
                <w:sz w:val="22"/>
                <w:szCs w:val="22"/>
              </w:rPr>
              <w:t>每年提供一次，交付《边界完整性检查报告》。</w:t>
            </w:r>
          </w:p>
        </w:tc>
      </w:tr>
      <w:tr>
        <w:tblPrEx>
          <w:tblCellMar>
            <w:top w:w="0" w:type="dxa"/>
            <w:left w:w="108" w:type="dxa"/>
            <w:bottom w:w="0" w:type="dxa"/>
            <w:right w:w="108" w:type="dxa"/>
          </w:tblCellMar>
        </w:tblPrEx>
        <w:trPr>
          <w:trHeight w:val="582" w:hRule="atLeast"/>
        </w:trPr>
        <w:tc>
          <w:tcPr>
            <w:tcW w:w="557" w:type="dxa"/>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3</w:t>
            </w:r>
          </w:p>
        </w:tc>
        <w:tc>
          <w:tcPr>
            <w:tcW w:w="960"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漏洞扫描与安全配置评估</w:t>
            </w:r>
          </w:p>
        </w:tc>
        <w:tc>
          <w:tcPr>
            <w:tcW w:w="4308" w:type="dxa"/>
            <w:tcBorders>
              <w:top w:val="nil"/>
              <w:left w:val="nil"/>
              <w:bottom w:val="single" w:color="auto" w:sz="8" w:space="0"/>
              <w:right w:val="single" w:color="auto" w:sz="8" w:space="0"/>
            </w:tcBorders>
            <w:noWrap w:val="0"/>
            <w:vAlign w:val="center"/>
          </w:tcPr>
          <w:p>
            <w:pPr>
              <w:widowControl/>
              <w:spacing w:line="240" w:lineRule="auto"/>
              <w:ind w:firstLine="0" w:firstLineChars="0"/>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使用漏洞评估产品和安全配置评估产品或以人工方式，检测网络和安全设备、操作系统、数据库和应用系统中存在的安全漏洞与安全基线，提供评估报告和修复建议。每周进行一次主要信息系统漏洞扫描并提供相关报告；其他网络和安全设备、操作系统、数据库等按需进行漏洞扫描。</w:t>
            </w:r>
          </w:p>
        </w:tc>
        <w:tc>
          <w:tcPr>
            <w:tcW w:w="563"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54</w:t>
            </w:r>
          </w:p>
        </w:tc>
        <w:tc>
          <w:tcPr>
            <w:tcW w:w="525"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次</w:t>
            </w:r>
          </w:p>
        </w:tc>
        <w:tc>
          <w:tcPr>
            <w:tcW w:w="2152" w:type="dxa"/>
            <w:tcBorders>
              <w:top w:val="nil"/>
              <w:left w:val="nil"/>
              <w:bottom w:val="single" w:color="auto" w:sz="8" w:space="0"/>
              <w:right w:val="single" w:color="auto" w:sz="8" w:space="0"/>
            </w:tcBorders>
            <w:noWrap w:val="0"/>
            <w:vAlign w:val="center"/>
          </w:tcPr>
          <w:p>
            <w:pPr>
              <w:widowControl/>
              <w:spacing w:line="240" w:lineRule="auto"/>
              <w:ind w:firstLine="0" w:firstLineChars="0"/>
              <w:rPr>
                <w:rFonts w:ascii="仿宋" w:hAnsi="仿宋" w:eastAsia="仿宋" w:cs="宋体"/>
                <w:color w:val="000000"/>
                <w:kern w:val="0"/>
                <w:sz w:val="22"/>
                <w:szCs w:val="22"/>
              </w:rPr>
            </w:pPr>
            <w:r>
              <w:rPr>
                <w:rFonts w:hint="eastAsia" w:ascii="仿宋" w:hAnsi="仿宋" w:eastAsia="仿宋" w:cs="宋体"/>
                <w:color w:val="000000"/>
                <w:kern w:val="0"/>
                <w:sz w:val="22"/>
                <w:szCs w:val="22"/>
              </w:rPr>
              <w:t>每周提供一次，全年共54次，交付《漏洞扫描与安全配置核查报告》，并提供上次复测结果对比。</w:t>
            </w:r>
          </w:p>
        </w:tc>
      </w:tr>
      <w:tr>
        <w:tblPrEx>
          <w:tblCellMar>
            <w:top w:w="0" w:type="dxa"/>
            <w:left w:w="108" w:type="dxa"/>
            <w:bottom w:w="0" w:type="dxa"/>
            <w:right w:w="108" w:type="dxa"/>
          </w:tblCellMar>
        </w:tblPrEx>
        <w:trPr>
          <w:trHeight w:val="1164" w:hRule="atLeast"/>
        </w:trPr>
        <w:tc>
          <w:tcPr>
            <w:tcW w:w="557" w:type="dxa"/>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w:t>
            </w:r>
          </w:p>
        </w:tc>
        <w:tc>
          <w:tcPr>
            <w:tcW w:w="960"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日志安全分析</w:t>
            </w:r>
          </w:p>
        </w:tc>
        <w:tc>
          <w:tcPr>
            <w:tcW w:w="4308" w:type="dxa"/>
            <w:tcBorders>
              <w:top w:val="nil"/>
              <w:left w:val="nil"/>
              <w:bottom w:val="single" w:color="auto" w:sz="8" w:space="0"/>
              <w:right w:val="single" w:color="auto" w:sz="8" w:space="0"/>
            </w:tcBorders>
            <w:noWrap w:val="0"/>
            <w:vAlign w:val="center"/>
          </w:tcPr>
          <w:p>
            <w:pPr>
              <w:widowControl/>
              <w:spacing w:line="240" w:lineRule="auto"/>
              <w:ind w:firstLine="0" w:firstLineChars="0"/>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对各类设备和系统（IPS、日志审计系统、WEB服务器等）产生的日志进行数据分析，及时发现攻击事件和可疑行为，提供日志分析报告。每月提供日志审计报告。</w:t>
            </w:r>
          </w:p>
        </w:tc>
        <w:tc>
          <w:tcPr>
            <w:tcW w:w="563"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12</w:t>
            </w:r>
          </w:p>
        </w:tc>
        <w:tc>
          <w:tcPr>
            <w:tcW w:w="525"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次</w:t>
            </w:r>
          </w:p>
        </w:tc>
        <w:tc>
          <w:tcPr>
            <w:tcW w:w="2152" w:type="dxa"/>
            <w:tcBorders>
              <w:top w:val="nil"/>
              <w:left w:val="nil"/>
              <w:bottom w:val="single" w:color="auto" w:sz="8" w:space="0"/>
              <w:right w:val="single" w:color="auto" w:sz="8" w:space="0"/>
            </w:tcBorders>
            <w:noWrap w:val="0"/>
            <w:vAlign w:val="center"/>
          </w:tcPr>
          <w:p>
            <w:pPr>
              <w:widowControl/>
              <w:spacing w:line="240" w:lineRule="auto"/>
              <w:ind w:firstLine="0" w:firstLineChars="0"/>
              <w:rPr>
                <w:rFonts w:ascii="仿宋" w:hAnsi="仿宋" w:eastAsia="仿宋" w:cs="宋体"/>
                <w:color w:val="000000"/>
                <w:kern w:val="0"/>
                <w:sz w:val="22"/>
                <w:szCs w:val="22"/>
              </w:rPr>
            </w:pPr>
            <w:r>
              <w:rPr>
                <w:rFonts w:hint="eastAsia" w:ascii="仿宋" w:hAnsi="仿宋" w:eastAsia="仿宋" w:cs="宋体"/>
                <w:color w:val="000000"/>
                <w:kern w:val="0"/>
                <w:sz w:val="22"/>
                <w:szCs w:val="22"/>
              </w:rPr>
              <w:t>每月一次，全年共12次，交付《日志审计报告 》。</w:t>
            </w:r>
          </w:p>
        </w:tc>
      </w:tr>
      <w:tr>
        <w:tblPrEx>
          <w:tblCellMar>
            <w:top w:w="0" w:type="dxa"/>
            <w:left w:w="108" w:type="dxa"/>
            <w:bottom w:w="0" w:type="dxa"/>
            <w:right w:w="108" w:type="dxa"/>
          </w:tblCellMar>
        </w:tblPrEx>
        <w:trPr>
          <w:trHeight w:val="2316" w:hRule="atLeast"/>
        </w:trPr>
        <w:tc>
          <w:tcPr>
            <w:tcW w:w="557" w:type="dxa"/>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5</w:t>
            </w:r>
          </w:p>
        </w:tc>
        <w:tc>
          <w:tcPr>
            <w:tcW w:w="960"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安全加固支持</w:t>
            </w:r>
          </w:p>
        </w:tc>
        <w:tc>
          <w:tcPr>
            <w:tcW w:w="4308" w:type="dxa"/>
            <w:tcBorders>
              <w:top w:val="nil"/>
              <w:left w:val="nil"/>
              <w:bottom w:val="single" w:color="auto" w:sz="8" w:space="0"/>
              <w:right w:val="single" w:color="auto" w:sz="8" w:space="0"/>
            </w:tcBorders>
            <w:noWrap w:val="0"/>
            <w:vAlign w:val="center"/>
          </w:tcPr>
          <w:p>
            <w:pPr>
              <w:widowControl/>
              <w:spacing w:line="240" w:lineRule="auto"/>
              <w:ind w:firstLine="0" w:firstLineChars="0"/>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针对安全漏洞和安全配置评估中发现的安全漏洞和配置缺陷，提供加固意见和方案，配合客户完成配置修复。 提供按需安全加固报告 ，安全配置策略定制， 结合行业监管要求和客户安全需求，协助定制安全配置规范（包括操作系统、数据库、中间件、网络设备、安全设备等），用于编写配置核查系统规则。 提供按需策略配置方案，每季度进行一次并提供相关报告。</w:t>
            </w:r>
          </w:p>
        </w:tc>
        <w:tc>
          <w:tcPr>
            <w:tcW w:w="563"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w:t>
            </w:r>
          </w:p>
        </w:tc>
        <w:tc>
          <w:tcPr>
            <w:tcW w:w="525"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次</w:t>
            </w:r>
          </w:p>
        </w:tc>
        <w:tc>
          <w:tcPr>
            <w:tcW w:w="2152" w:type="dxa"/>
            <w:tcBorders>
              <w:top w:val="nil"/>
              <w:left w:val="nil"/>
              <w:bottom w:val="single" w:color="auto" w:sz="8" w:space="0"/>
              <w:right w:val="single" w:color="auto" w:sz="8" w:space="0"/>
            </w:tcBorders>
            <w:noWrap w:val="0"/>
            <w:vAlign w:val="center"/>
          </w:tcPr>
          <w:p>
            <w:pPr>
              <w:widowControl/>
              <w:spacing w:line="240" w:lineRule="auto"/>
              <w:ind w:firstLine="0" w:firstLineChars="0"/>
              <w:rPr>
                <w:rFonts w:ascii="仿宋" w:hAnsi="仿宋" w:eastAsia="仿宋" w:cs="宋体"/>
                <w:color w:val="000000"/>
                <w:kern w:val="0"/>
                <w:sz w:val="22"/>
                <w:szCs w:val="22"/>
              </w:rPr>
            </w:pPr>
            <w:r>
              <w:rPr>
                <w:rFonts w:hint="eastAsia" w:ascii="仿宋" w:hAnsi="仿宋" w:eastAsia="仿宋" w:cs="宋体"/>
                <w:color w:val="000000"/>
                <w:kern w:val="0"/>
                <w:sz w:val="22"/>
                <w:szCs w:val="22"/>
              </w:rPr>
              <w:t>每季度一次，全年共4次，交付《安全加固报告》。</w:t>
            </w:r>
          </w:p>
        </w:tc>
      </w:tr>
      <w:tr>
        <w:tblPrEx>
          <w:tblCellMar>
            <w:top w:w="0" w:type="dxa"/>
            <w:left w:w="108" w:type="dxa"/>
            <w:bottom w:w="0" w:type="dxa"/>
            <w:right w:w="108" w:type="dxa"/>
          </w:tblCellMar>
        </w:tblPrEx>
        <w:trPr>
          <w:trHeight w:val="588" w:hRule="atLeast"/>
        </w:trPr>
        <w:tc>
          <w:tcPr>
            <w:tcW w:w="557" w:type="dxa"/>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6</w:t>
            </w:r>
          </w:p>
        </w:tc>
        <w:tc>
          <w:tcPr>
            <w:tcW w:w="960"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安全培训</w:t>
            </w:r>
          </w:p>
        </w:tc>
        <w:tc>
          <w:tcPr>
            <w:tcW w:w="4308" w:type="dxa"/>
            <w:tcBorders>
              <w:top w:val="nil"/>
              <w:left w:val="nil"/>
              <w:bottom w:val="single" w:color="auto" w:sz="8" w:space="0"/>
              <w:right w:val="single" w:color="auto" w:sz="8" w:space="0"/>
            </w:tcBorders>
            <w:noWrap w:val="0"/>
            <w:vAlign w:val="center"/>
          </w:tcPr>
          <w:p>
            <w:pPr>
              <w:widowControl/>
              <w:spacing w:line="240" w:lineRule="auto"/>
              <w:ind w:firstLine="0" w:firstLineChars="0"/>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协助客户进行相关人员安全意识培训，主要针对全员信息安全意识培训，常见网络攻击、木马防护等。</w:t>
            </w:r>
          </w:p>
        </w:tc>
        <w:tc>
          <w:tcPr>
            <w:tcW w:w="563"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525"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次</w:t>
            </w:r>
          </w:p>
        </w:tc>
        <w:tc>
          <w:tcPr>
            <w:tcW w:w="2152" w:type="dxa"/>
            <w:tcBorders>
              <w:top w:val="nil"/>
              <w:left w:val="nil"/>
              <w:bottom w:val="single" w:color="auto" w:sz="4" w:space="0"/>
              <w:right w:val="single" w:color="auto" w:sz="8" w:space="0"/>
            </w:tcBorders>
            <w:noWrap w:val="0"/>
            <w:vAlign w:val="center"/>
          </w:tcPr>
          <w:p>
            <w:pPr>
              <w:widowControl/>
              <w:spacing w:line="240" w:lineRule="auto"/>
              <w:ind w:firstLine="0" w:firstLineChars="0"/>
              <w:rPr>
                <w:rFonts w:ascii="仿宋" w:hAnsi="仿宋" w:eastAsia="仿宋" w:cs="宋体"/>
                <w:color w:val="000000"/>
                <w:kern w:val="0"/>
                <w:sz w:val="22"/>
                <w:szCs w:val="22"/>
              </w:rPr>
            </w:pPr>
            <w:r>
              <w:rPr>
                <w:rFonts w:hint="eastAsia" w:ascii="仿宋" w:hAnsi="仿宋" w:eastAsia="仿宋" w:cs="宋体"/>
                <w:color w:val="000000"/>
                <w:kern w:val="0"/>
                <w:sz w:val="22"/>
                <w:szCs w:val="22"/>
              </w:rPr>
              <w:t>全年提供一次安全培训，交付《安全培训报告》。</w:t>
            </w:r>
          </w:p>
        </w:tc>
      </w:tr>
      <w:tr>
        <w:tblPrEx>
          <w:tblCellMar>
            <w:top w:w="0" w:type="dxa"/>
            <w:left w:w="108" w:type="dxa"/>
            <w:bottom w:w="0" w:type="dxa"/>
            <w:right w:w="108" w:type="dxa"/>
          </w:tblCellMar>
        </w:tblPrEx>
        <w:trPr>
          <w:trHeight w:val="1561" w:hRule="atLeast"/>
        </w:trPr>
        <w:tc>
          <w:tcPr>
            <w:tcW w:w="557" w:type="dxa"/>
            <w:tcBorders>
              <w:top w:val="nil"/>
              <w:left w:val="single" w:color="auto" w:sz="8" w:space="0"/>
              <w:bottom w:val="single" w:color="auto" w:sz="4"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7</w:t>
            </w:r>
          </w:p>
        </w:tc>
        <w:tc>
          <w:tcPr>
            <w:tcW w:w="960" w:type="dxa"/>
            <w:tcBorders>
              <w:top w:val="nil"/>
              <w:left w:val="single" w:color="auto" w:sz="8" w:space="0"/>
              <w:bottom w:val="single" w:color="auto" w:sz="4"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其他服务</w:t>
            </w:r>
          </w:p>
        </w:tc>
        <w:tc>
          <w:tcPr>
            <w:tcW w:w="4308" w:type="dxa"/>
            <w:tcBorders>
              <w:top w:val="nil"/>
              <w:left w:val="nil"/>
              <w:bottom w:val="single" w:color="auto" w:sz="4" w:space="0"/>
              <w:right w:val="single" w:color="auto" w:sz="8" w:space="0"/>
            </w:tcBorders>
            <w:noWrap w:val="0"/>
            <w:vAlign w:val="center"/>
          </w:tcPr>
          <w:p>
            <w:pPr>
              <w:widowControl/>
              <w:spacing w:line="240" w:lineRule="auto"/>
              <w:ind w:firstLine="0" w:firstLineChars="0"/>
              <w:jc w:val="left"/>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根据与用户的约定，协助客户完成上级部署的网络安全检查及其他网络安全检查工作；协助客户完成全院网络的规划设计、性能的优化并提出可行性方案完成实施；协助用户对各类型信息化资产进行资产梳理，台账分析，标签制作服务；在服务期的任何时间内（即7*24小时）全天候响应方式，通过现场或远程方式为用户提供快速、高效的解决突发安全事故的服务。当系统发生重大故障时，在接到客户故障申告后的15分钟内，提供电话响应或在线支持服务，并与2小时内赶到故障现场；每月为用户提供最新安全漏洞通告、媒体关注通告和恶意IP通告服务，并对存在的漏洞情况提出整改方案。</w:t>
            </w:r>
          </w:p>
          <w:p>
            <w:pPr>
              <w:widowControl/>
              <w:spacing w:line="240" w:lineRule="auto"/>
              <w:ind w:firstLine="0" w:firstLineChars="0"/>
              <w:jc w:val="left"/>
              <w:rPr>
                <w:rFonts w:ascii="等线" w:hAnsi="等线" w:eastAsia="等线" w:cs="宋体"/>
                <w:color w:val="000000"/>
                <w:kern w:val="0"/>
                <w:sz w:val="22"/>
                <w:szCs w:val="22"/>
              </w:rPr>
            </w:pPr>
            <w:r>
              <w:rPr>
                <w:rFonts w:hint="eastAsia" w:ascii="仿宋" w:hAnsi="仿宋" w:eastAsia="仿宋" w:cs="宋体"/>
                <w:color w:val="000000"/>
                <w:kern w:val="0"/>
                <w:sz w:val="22"/>
                <w:szCs w:val="22"/>
              </w:rPr>
              <w:t>重要系统实时监控：对自治区重点用能单位能耗在线监测系统、碳达峰碳中和在线监测系统</w:t>
            </w:r>
            <w:r>
              <w:rPr>
                <w:rFonts w:hint="eastAsia" w:ascii="仿宋" w:hAnsi="仿宋" w:eastAsia="仿宋" w:cs="宋体"/>
                <w:color w:val="000000"/>
                <w:kern w:val="0"/>
                <w:sz w:val="22"/>
                <w:szCs w:val="22"/>
                <w:lang w:eastAsia="zh-CN"/>
              </w:rPr>
              <w:t>、</w:t>
            </w:r>
            <w:r>
              <w:rPr>
                <w:rFonts w:hint="eastAsia" w:ascii="仿宋" w:hAnsi="仿宋" w:eastAsia="仿宋" w:cs="宋体"/>
                <w:color w:val="000000"/>
                <w:kern w:val="0"/>
                <w:sz w:val="22"/>
                <w:szCs w:val="22"/>
              </w:rPr>
              <w:t>智能计量一体化平台、协同管理平台</w:t>
            </w:r>
            <w:r>
              <w:rPr>
                <w:rFonts w:hint="eastAsia" w:ascii="仿宋" w:hAnsi="仿宋" w:eastAsia="仿宋" w:cs="宋体"/>
                <w:color w:val="000000"/>
                <w:kern w:val="0"/>
                <w:sz w:val="22"/>
                <w:szCs w:val="22"/>
                <w:lang w:eastAsia="zh-CN"/>
              </w:rPr>
              <w:t>、</w:t>
            </w:r>
            <w:r>
              <w:rPr>
                <w:rFonts w:hint="eastAsia" w:ascii="仿宋" w:hAnsi="仿宋" w:eastAsia="仿宋" w:cs="宋体"/>
                <w:color w:val="000000"/>
                <w:kern w:val="0"/>
                <w:sz w:val="22"/>
                <w:szCs w:val="22"/>
              </w:rPr>
              <w:t>门户网站等重要系统网络安全实时监控。</w:t>
            </w:r>
          </w:p>
        </w:tc>
        <w:tc>
          <w:tcPr>
            <w:tcW w:w="563" w:type="dxa"/>
            <w:tcBorders>
              <w:top w:val="nil"/>
              <w:left w:val="single" w:color="auto" w:sz="8" w:space="0"/>
              <w:bottom w:val="single" w:color="auto" w:sz="4"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525" w:type="dxa"/>
            <w:tcBorders>
              <w:top w:val="nil"/>
              <w:left w:val="single" w:color="auto" w:sz="8" w:space="0"/>
              <w:bottom w:val="single" w:color="auto" w:sz="4" w:space="0"/>
              <w:right w:val="single" w:color="auto" w:sz="4"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套</w:t>
            </w:r>
          </w:p>
        </w:tc>
        <w:tc>
          <w:tcPr>
            <w:tcW w:w="2152"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按照客户实际需求，交付包括但不限于《资产梳理报告》等，每年一次；</w:t>
            </w:r>
          </w:p>
          <w:p>
            <w:pPr>
              <w:widowControl/>
              <w:spacing w:line="240" w:lineRule="auto"/>
              <w:ind w:firstLine="0" w:firstLineChars="0"/>
              <w:rPr>
                <w:rFonts w:ascii="仿宋" w:hAnsi="仿宋" w:eastAsia="仿宋" w:cs="宋体"/>
                <w:color w:val="000000"/>
                <w:kern w:val="0"/>
                <w:sz w:val="22"/>
                <w:szCs w:val="22"/>
              </w:rPr>
            </w:pPr>
            <w:r>
              <w:rPr>
                <w:rFonts w:hint="eastAsia" w:ascii="仿宋" w:hAnsi="仿宋" w:eastAsia="仿宋" w:cs="宋体"/>
                <w:color w:val="000000"/>
                <w:kern w:val="0"/>
                <w:sz w:val="22"/>
                <w:szCs w:val="22"/>
              </w:rPr>
              <w:t>按照客户实际需求，针对应急事件提交</w:t>
            </w:r>
          </w:p>
          <w:p>
            <w:pPr>
              <w:widowControl/>
              <w:spacing w:line="240" w:lineRule="auto"/>
              <w:ind w:firstLine="0" w:firstLineChars="0"/>
              <w:rPr>
                <w:rFonts w:ascii="仿宋" w:hAnsi="仿宋" w:eastAsia="仿宋" w:cs="宋体"/>
                <w:color w:val="000000"/>
                <w:kern w:val="0"/>
                <w:sz w:val="22"/>
                <w:szCs w:val="22"/>
              </w:rPr>
            </w:pPr>
            <w:r>
              <w:rPr>
                <w:rFonts w:hint="eastAsia" w:ascii="仿宋" w:hAnsi="仿宋" w:eastAsia="仿宋" w:cs="宋体"/>
                <w:color w:val="000000"/>
                <w:kern w:val="0"/>
                <w:sz w:val="22"/>
                <w:szCs w:val="22"/>
              </w:rPr>
              <w:t>《应急响应报告》；</w:t>
            </w:r>
          </w:p>
          <w:p>
            <w:pPr>
              <w:widowControl/>
              <w:spacing w:line="240" w:lineRule="auto"/>
              <w:ind w:firstLine="0" w:firstLineChars="0"/>
              <w:rPr>
                <w:rFonts w:ascii="仿宋" w:hAnsi="仿宋" w:eastAsia="仿宋" w:cs="宋体"/>
                <w:color w:val="000000"/>
                <w:kern w:val="0"/>
                <w:sz w:val="22"/>
                <w:szCs w:val="22"/>
              </w:rPr>
            </w:pPr>
            <w:r>
              <w:rPr>
                <w:rFonts w:hint="eastAsia" w:ascii="仿宋" w:hAnsi="仿宋" w:eastAsia="仿宋" w:cs="宋体"/>
                <w:color w:val="000000"/>
                <w:kern w:val="0"/>
                <w:sz w:val="22"/>
                <w:szCs w:val="22"/>
              </w:rPr>
              <w:t>每月一次、全年共12次，交付《月度安全通告》。</w:t>
            </w:r>
          </w:p>
        </w:tc>
      </w:tr>
      <w:tr>
        <w:tblPrEx>
          <w:tblCellMar>
            <w:top w:w="0" w:type="dxa"/>
            <w:left w:w="108" w:type="dxa"/>
            <w:bottom w:w="0" w:type="dxa"/>
            <w:right w:w="108" w:type="dxa"/>
          </w:tblCellMar>
        </w:tblPrEx>
        <w:trPr>
          <w:trHeight w:val="604" w:hRule="atLeast"/>
        </w:trPr>
        <w:tc>
          <w:tcPr>
            <w:tcW w:w="557" w:type="dxa"/>
            <w:tcBorders>
              <w:top w:val="single" w:color="auto" w:sz="4" w:space="0"/>
              <w:left w:val="single" w:color="auto" w:sz="4" w:space="0"/>
              <w:bottom w:val="single" w:color="auto" w:sz="4"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8</w:t>
            </w:r>
          </w:p>
        </w:tc>
        <w:tc>
          <w:tcPr>
            <w:tcW w:w="96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驻场运维服务</w:t>
            </w:r>
          </w:p>
        </w:tc>
        <w:tc>
          <w:tcPr>
            <w:tcW w:w="4308" w:type="dxa"/>
            <w:tcBorders>
              <w:top w:val="single" w:color="auto" w:sz="4" w:space="0"/>
              <w:left w:val="single" w:color="auto" w:sz="4" w:space="0"/>
              <w:bottom w:val="single" w:color="auto" w:sz="4" w:space="0"/>
              <w:right w:val="single" w:color="auto" w:sz="8" w:space="0"/>
            </w:tcBorders>
            <w:noWrap w:val="0"/>
            <w:vAlign w:val="center"/>
          </w:tcPr>
          <w:p>
            <w:pPr>
              <w:widowControl/>
              <w:spacing w:line="240" w:lineRule="auto"/>
              <w:ind w:firstLine="0" w:firstLineChars="0"/>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提供驻场运维服务。按照采购方需求，派驻一名驻场运维人员，提供现场日常运维服务（不限于网络安全）。</w:t>
            </w:r>
          </w:p>
        </w:tc>
        <w:tc>
          <w:tcPr>
            <w:tcW w:w="563" w:type="dxa"/>
            <w:tcBorders>
              <w:top w:val="single" w:color="auto" w:sz="4" w:space="0"/>
              <w:left w:val="nil"/>
              <w:bottom w:val="single" w:color="auto" w:sz="4"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525" w:type="dxa"/>
            <w:tcBorders>
              <w:top w:val="single" w:color="auto" w:sz="4" w:space="0"/>
              <w:left w:val="nil"/>
              <w:bottom w:val="single" w:color="auto" w:sz="4" w:space="0"/>
              <w:right w:val="single" w:color="auto" w:sz="8" w:space="0"/>
            </w:tcBorders>
            <w:noWrap w:val="0"/>
            <w:vAlign w:val="center"/>
          </w:tcPr>
          <w:p>
            <w:pPr>
              <w:widowControl/>
              <w:spacing w:line="240" w:lineRule="auto"/>
              <w:ind w:firstLine="0" w:firstLineChars="0"/>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年</w:t>
            </w:r>
          </w:p>
        </w:tc>
        <w:tc>
          <w:tcPr>
            <w:tcW w:w="2152"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rPr>
                <w:rFonts w:ascii="仿宋" w:hAnsi="仿宋" w:eastAsia="仿宋" w:cs="宋体"/>
                <w:color w:val="000000"/>
                <w:kern w:val="0"/>
                <w:sz w:val="22"/>
                <w:szCs w:val="22"/>
              </w:rPr>
            </w:pPr>
            <w:r>
              <w:rPr>
                <w:rFonts w:hint="eastAsia" w:ascii="仿宋" w:hAnsi="仿宋" w:eastAsia="仿宋" w:cs="宋体"/>
                <w:color w:val="000000"/>
                <w:kern w:val="0"/>
                <w:sz w:val="22"/>
                <w:szCs w:val="22"/>
              </w:rPr>
              <w:t>服务期内指派1名网络安全人员驻场、按服务约定提供相应服务并交付《驻场运维报告》。服务期内后台常备技术专家团队，用于协助解决其它技术性难题。</w:t>
            </w:r>
          </w:p>
        </w:tc>
      </w:tr>
    </w:tbl>
    <w:p>
      <w:pPr>
        <w:pStyle w:val="6"/>
        <w:snapToGrid w:val="0"/>
        <w:spacing w:line="600" w:lineRule="exact"/>
        <w:ind w:firstLine="0" w:firstLineChars="0"/>
        <w:jc w:val="both"/>
        <w:rPr>
          <w:rFonts w:hint="eastAsia" w:ascii="Times New Roman" w:hAnsi="Times New Roman" w:eastAsia="仿宋_GB2312" w:cs="Times New Roman"/>
          <w:sz w:val="32"/>
          <w:szCs w:val="32"/>
        </w:rPr>
      </w:pPr>
    </w:p>
    <w:p>
      <w:bookmarkStart w:id="1" w:name="_GoBack"/>
      <w:bookmarkEnd w:id="1"/>
    </w:p>
    <w:sectPr>
      <w:footerReference r:id="rId3" w:type="default"/>
      <w:pgSz w:w="11906" w:h="16838"/>
      <w:pgMar w:top="1587" w:right="1474" w:bottom="1474" w:left="1474"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D7176C"/>
    <w:multiLevelType w:val="multilevel"/>
    <w:tmpl w:val="6DD7176C"/>
    <w:lvl w:ilvl="0" w:tentative="0">
      <w:start w:val="1"/>
      <w:numFmt w:val="chineseCountingThousand"/>
      <w:pStyle w:val="2"/>
      <w:lvlText w:val="%1、"/>
      <w:lvlJc w:val="left"/>
      <w:pPr>
        <w:ind w:left="425" w:hanging="425"/>
      </w:pPr>
      <w:rPr>
        <w:rFonts w:hint="eastAsia" w:eastAsia="宋体"/>
        <w:b/>
        <w:i w:val="0"/>
        <w:sz w:val="28"/>
      </w:rPr>
    </w:lvl>
    <w:lvl w:ilvl="1" w:tentative="0">
      <w:start w:val="1"/>
      <w:numFmt w:val="decimal"/>
      <w:isLgl/>
      <w:lvlText w:val="%1.%2"/>
      <w:lvlJc w:val="left"/>
      <w:pPr>
        <w:ind w:left="0" w:firstLine="0"/>
      </w:pPr>
      <w:rPr>
        <w:rFonts w:hint="eastAsia" w:eastAsia="宋体"/>
        <w:b/>
        <w:i w:val="0"/>
        <w:sz w:val="28"/>
      </w:rPr>
    </w:lvl>
    <w:lvl w:ilvl="2" w:tentative="0">
      <w:start w:val="1"/>
      <w:numFmt w:val="decimal"/>
      <w:isLgl/>
      <w:lvlText w:val="%1.%2.%3"/>
      <w:lvlJc w:val="left"/>
      <w:pPr>
        <w:ind w:left="0" w:firstLine="0"/>
      </w:pPr>
      <w:rPr>
        <w:rFonts w:hint="eastAsia" w:eastAsia="宋体"/>
        <w:b/>
        <w:i w:val="0"/>
        <w:sz w:val="24"/>
      </w:rPr>
    </w:lvl>
    <w:lvl w:ilvl="3" w:tentative="0">
      <w:start w:val="1"/>
      <w:numFmt w:val="decimal"/>
      <w:isLgl/>
      <w:lvlText w:val="%1.%2.%3.%4"/>
      <w:lvlJc w:val="left"/>
      <w:pPr>
        <w:ind w:left="0" w:firstLine="0"/>
      </w:pPr>
      <w:rPr>
        <w:rFonts w:hint="eastAsia" w:eastAsia="宋体"/>
        <w:b/>
        <w:i w:val="0"/>
        <w:sz w:val="24"/>
      </w:rPr>
    </w:lvl>
    <w:lvl w:ilvl="4" w:tentative="0">
      <w:start w:val="1"/>
      <w:numFmt w:val="decimal"/>
      <w:isLgl/>
      <w:lvlText w:val="%1.%2.%3.%4.%5"/>
      <w:lvlJc w:val="left"/>
      <w:pPr>
        <w:ind w:left="0" w:firstLine="0"/>
      </w:pPr>
      <w:rPr>
        <w:rFonts w:hint="eastAsia" w:eastAsia="宋体"/>
        <w:b/>
        <w:i w:val="0"/>
        <w:sz w:val="24"/>
      </w:rPr>
    </w:lvl>
    <w:lvl w:ilvl="5" w:tentative="0">
      <w:start w:val="1"/>
      <w:numFmt w:val="decimal"/>
      <w:isLgl/>
      <w:lvlText w:val="%1.%2.%3.%4.%5.%6"/>
      <w:lvlJc w:val="left"/>
      <w:pPr>
        <w:ind w:left="0" w:firstLine="0"/>
      </w:pPr>
      <w:rPr>
        <w:rFonts w:hint="eastAsia" w:eastAsia="宋体"/>
        <w:b/>
        <w:i w:val="0"/>
        <w:sz w:val="24"/>
      </w:rPr>
    </w:lvl>
    <w:lvl w:ilvl="6" w:tentative="0">
      <w:start w:val="1"/>
      <w:numFmt w:val="decimal"/>
      <w:isLgl/>
      <w:lvlText w:val="%1.%2.%3.%4.%5.%6.%7"/>
      <w:lvlJc w:val="left"/>
      <w:pPr>
        <w:ind w:left="0" w:firstLine="0"/>
      </w:pPr>
      <w:rPr>
        <w:rFonts w:hint="eastAsia" w:eastAsia="宋体"/>
        <w:b/>
        <w:i w:val="0"/>
        <w:sz w:val="24"/>
      </w:rPr>
    </w:lvl>
    <w:lvl w:ilvl="7" w:tentative="0">
      <w:start w:val="1"/>
      <w:numFmt w:val="decimal"/>
      <w:isLgl/>
      <w:lvlText w:val="%1.%2.%3.%4.%5.%6.%7.%8"/>
      <w:lvlJc w:val="left"/>
      <w:pPr>
        <w:ind w:left="0" w:firstLine="0"/>
      </w:pPr>
      <w:rPr>
        <w:rFonts w:hint="eastAsia" w:eastAsia="宋体"/>
        <w:b/>
        <w:i w:val="0"/>
        <w:sz w:val="24"/>
      </w:rPr>
    </w:lvl>
    <w:lvl w:ilvl="8" w:tentative="0">
      <w:start w:val="1"/>
      <w:numFmt w:val="decimal"/>
      <w:isLgl/>
      <w:lvlText w:val="%1.%2.%3.%4.%5.%6.%7.%8.%9"/>
      <w:lvlJc w:val="left"/>
      <w:pPr>
        <w:ind w:left="0" w:firstLine="0"/>
      </w:pPr>
      <w:rPr>
        <w:rFonts w:hint="eastAsia"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B1B85"/>
    <w:rsid w:val="384B1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numPr>
        <w:ilvl w:val="0"/>
        <w:numId w:val="1"/>
      </w:numPr>
      <w:ind w:left="0" w:firstLine="0" w:firstLineChars="0"/>
      <w:jc w:val="center"/>
      <w:outlineLvl w:val="0"/>
    </w:pPr>
    <w:rPr>
      <w:b/>
      <w:bCs/>
      <w:kern w:val="44"/>
      <w:sz w:val="30"/>
      <w:szCs w:val="3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2025-10-21T03:10:00Z</dcterms:created>
  <dc:creator>dyy</dc:creator>
  <cp:lastModifiedBy>dyy</cp:lastModifiedBy>
  <dcterms:modified xsi:type="dcterms:W3CDTF">2025-10-21T03:10:48Z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24D6B52FFD41442589BFDE7D7D9C8C89</vt:lpwstr>
  </property>
</Properties>
</file>